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1D" w:rsidRPr="00C24343" w:rsidRDefault="0075731D" w:rsidP="00C24343">
      <w:pPr>
        <w:overflowPunct w:val="0"/>
        <w:snapToGrid w:val="0"/>
        <w:spacing w:line="360" w:lineRule="auto"/>
        <w:jc w:val="center"/>
        <w:rPr>
          <w:rFonts w:ascii="Times New Roman" w:eastAsia="黑体" w:hAnsi="Times New Roman" w:cs="Times New Roman"/>
          <w:b/>
          <w:sz w:val="44"/>
        </w:rPr>
      </w:pPr>
      <w:r w:rsidRPr="00C24343">
        <w:rPr>
          <w:rFonts w:ascii="Times New Roman" w:eastAsia="黑体" w:hAnsi="Times New Roman" w:cs="Times New Roman"/>
          <w:b/>
          <w:sz w:val="44"/>
        </w:rPr>
        <w:t>2025</w:t>
      </w:r>
      <w:r w:rsidRPr="00C24343">
        <w:rPr>
          <w:rFonts w:ascii="Times New Roman" w:eastAsia="黑体" w:hAnsi="Times New Roman" w:cs="Times New Roman"/>
          <w:b/>
          <w:sz w:val="44"/>
        </w:rPr>
        <w:t>年</w:t>
      </w:r>
      <w:bookmarkStart w:id="0" w:name="_GoBack"/>
      <w:bookmarkEnd w:id="0"/>
      <w:r w:rsidRPr="00C24343">
        <w:rPr>
          <w:rFonts w:ascii="Times New Roman" w:eastAsia="黑体" w:hAnsi="Times New Roman" w:cs="Times New Roman"/>
          <w:b/>
          <w:sz w:val="44"/>
        </w:rPr>
        <w:t>云南省普通高中学业水平选择性考试</w:t>
      </w:r>
    </w:p>
    <w:p w:rsidR="0075731D" w:rsidRPr="00106F55" w:rsidRDefault="0075731D" w:rsidP="00C24343">
      <w:pPr>
        <w:overflowPunct w:val="0"/>
        <w:snapToGrid w:val="0"/>
        <w:spacing w:line="360" w:lineRule="auto"/>
        <w:jc w:val="center"/>
        <w:rPr>
          <w:rFonts w:ascii="Times New Roman" w:eastAsia="黑体" w:hAnsi="Times New Roman" w:cs="Times New Roman"/>
          <w:b/>
          <w:sz w:val="44"/>
        </w:rPr>
      </w:pPr>
      <w:r w:rsidRPr="00106F55">
        <w:rPr>
          <w:rFonts w:ascii="Times New Roman" w:eastAsia="黑体" w:hAnsi="Times New Roman" w:cs="Times New Roman"/>
          <w:b/>
          <w:sz w:val="44"/>
        </w:rPr>
        <w:t>思想政治</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一、选择题：</w:t>
      </w:r>
      <w:r w:rsidRPr="002A0AF6">
        <w:rPr>
          <w:rFonts w:ascii="Times New Roman" w:eastAsia="宋体" w:hAnsi="Times New Roman" w:cs="Times New Roman"/>
          <w:b/>
          <w:color w:val="000000" w:themeColor="text1"/>
          <w:sz w:val="24"/>
        </w:rPr>
        <w:t>本题共</w:t>
      </w: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小题，每小题</w:t>
      </w: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分，共</w:t>
      </w:r>
      <w:r w:rsidRPr="002A0AF6">
        <w:rPr>
          <w:rFonts w:ascii="Times New Roman" w:eastAsia="宋体" w:hAnsi="Times New Roman" w:cs="Times New Roman"/>
          <w:b/>
          <w:color w:val="000000" w:themeColor="text1"/>
          <w:sz w:val="24"/>
        </w:rPr>
        <w:t>48</w:t>
      </w:r>
      <w:r w:rsidRPr="002A0AF6">
        <w:rPr>
          <w:rFonts w:ascii="Times New Roman" w:eastAsia="宋体" w:hAnsi="Times New Roman" w:cs="Times New Roman"/>
          <w:b/>
          <w:color w:val="000000" w:themeColor="text1"/>
          <w:sz w:val="24"/>
        </w:rPr>
        <w:t>分。在每小题给出的四个选项中，只有一项是符合题目要求的。</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．马克思和恩格斯指出：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一切历史冲突都根源于生产力和交往形式之间的矛盾。</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人类社会历史在这一矛盾的作用下，奴隶制取代原始公社制经历了约</w:t>
      </w:r>
      <w:r w:rsidRPr="002A0AF6">
        <w:rPr>
          <w:rFonts w:ascii="Times New Roman" w:eastAsia="宋体" w:hAnsi="Times New Roman" w:cs="Times New Roman"/>
          <w:b/>
          <w:color w:val="000000" w:themeColor="text1"/>
          <w:sz w:val="24"/>
        </w:rPr>
        <w:t>3 000</w:t>
      </w:r>
      <w:r w:rsidRPr="002A0AF6">
        <w:rPr>
          <w:rFonts w:ascii="Times New Roman" w:eastAsia="宋体" w:hAnsi="Times New Roman" w:cs="Times New Roman"/>
          <w:b/>
          <w:color w:val="000000" w:themeColor="text1"/>
          <w:sz w:val="24"/>
        </w:rPr>
        <w:t>年，封建制度取代奴隶制度经历了约</w:t>
      </w:r>
      <w:r w:rsidRPr="002A0AF6">
        <w:rPr>
          <w:rFonts w:ascii="Times New Roman" w:eastAsia="宋体" w:hAnsi="Times New Roman" w:cs="Times New Roman"/>
          <w:b/>
          <w:color w:val="000000" w:themeColor="text1"/>
          <w:sz w:val="24"/>
        </w:rPr>
        <w:t>1 000</w:t>
      </w:r>
      <w:r w:rsidRPr="002A0AF6">
        <w:rPr>
          <w:rFonts w:ascii="Times New Roman" w:eastAsia="宋体" w:hAnsi="Times New Roman" w:cs="Times New Roman"/>
          <w:b/>
          <w:color w:val="000000" w:themeColor="text1"/>
          <w:sz w:val="24"/>
        </w:rPr>
        <w:t>年，资本主义制度取代封建主义制度经历了约</w:t>
      </w:r>
      <w:r w:rsidRPr="002A0AF6">
        <w:rPr>
          <w:rFonts w:ascii="Times New Roman" w:eastAsia="宋体" w:hAnsi="Times New Roman" w:cs="Times New Roman"/>
          <w:b/>
          <w:color w:val="000000" w:themeColor="text1"/>
          <w:sz w:val="24"/>
        </w:rPr>
        <w:t>500</w:t>
      </w:r>
      <w:r w:rsidRPr="002A0AF6">
        <w:rPr>
          <w:rFonts w:ascii="Times New Roman" w:eastAsia="宋体" w:hAnsi="Times New Roman" w:cs="Times New Roman"/>
          <w:b/>
          <w:color w:val="000000" w:themeColor="text1"/>
          <w:sz w:val="24"/>
        </w:rPr>
        <w:t>年。社会主义发展的历史不算长，却在中国焕发出蓬勃生机。这表明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①</w:t>
      </w:r>
      <w:r w:rsidRPr="002A0AF6">
        <w:rPr>
          <w:rFonts w:ascii="Times New Roman" w:eastAsia="宋体" w:hAnsi="Times New Roman" w:cs="Times New Roman" w:hint="eastAsia"/>
          <w:b/>
          <w:color w:val="000000" w:themeColor="text1"/>
          <w:sz w:val="24"/>
        </w:rPr>
        <w:t>社会形态的存在都有相对稳定性</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社会形态的更替具有统一性与多样性</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社会形态的更替具有必然性和长期性</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不同社会形态的社会层级结构呈现复杂性</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奴隶制取代原始公社制用了约</w:t>
      </w:r>
      <w:r w:rsidRPr="002A0AF6">
        <w:rPr>
          <w:rFonts w:ascii="Times New Roman" w:eastAsia="楷体" w:hAnsi="Times New Roman" w:cs="Times New Roman"/>
          <w:b/>
          <w:color w:val="000000" w:themeColor="text1"/>
          <w:sz w:val="24"/>
        </w:rPr>
        <w:t>3 000</w:t>
      </w:r>
      <w:r w:rsidRPr="002A0AF6">
        <w:rPr>
          <w:rFonts w:ascii="Times New Roman" w:eastAsia="楷体" w:hAnsi="Times New Roman" w:cs="Times New Roman"/>
          <w:b/>
          <w:color w:val="000000" w:themeColor="text1"/>
          <w:sz w:val="24"/>
        </w:rPr>
        <w:t>年，封建制度取代奴隶制度约</w:t>
      </w:r>
      <w:r w:rsidRPr="002A0AF6">
        <w:rPr>
          <w:rFonts w:ascii="Times New Roman" w:eastAsia="楷体" w:hAnsi="Times New Roman" w:cs="Times New Roman"/>
          <w:b/>
          <w:color w:val="000000" w:themeColor="text1"/>
          <w:sz w:val="24"/>
        </w:rPr>
        <w:t>1 000</w:t>
      </w:r>
      <w:r w:rsidRPr="002A0AF6">
        <w:rPr>
          <w:rFonts w:ascii="Times New Roman" w:eastAsia="楷体" w:hAnsi="Times New Roman" w:cs="Times New Roman"/>
          <w:b/>
          <w:color w:val="000000" w:themeColor="text1"/>
          <w:sz w:val="24"/>
        </w:rPr>
        <w:t>年，资本主义制度取代封建主义制度约</w:t>
      </w:r>
      <w:r w:rsidRPr="002A0AF6">
        <w:rPr>
          <w:rFonts w:ascii="Times New Roman" w:eastAsia="楷体" w:hAnsi="Times New Roman" w:cs="Times New Roman"/>
          <w:b/>
          <w:color w:val="000000" w:themeColor="text1"/>
          <w:sz w:val="24"/>
        </w:rPr>
        <w:t>500</w:t>
      </w:r>
      <w:r w:rsidRPr="002A0AF6">
        <w:rPr>
          <w:rFonts w:ascii="Times New Roman" w:eastAsia="楷体" w:hAnsi="Times New Roman" w:cs="Times New Roman"/>
          <w:b/>
          <w:color w:val="000000" w:themeColor="text1"/>
          <w:sz w:val="24"/>
        </w:rPr>
        <w:t>年。这表明每种社会形态从确立到被取代都经历了较长时间，体现了其存在的相对稳定性，</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一切历史冲突都根源于生产力和交往形式之间的矛盾</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，说明</w:t>
      </w:r>
      <w:r w:rsidRPr="002A0AF6">
        <w:rPr>
          <w:rFonts w:ascii="Times New Roman" w:eastAsia="楷体" w:hAnsi="Times New Roman" w:cs="Times New Roman" w:hint="eastAsia"/>
          <w:b/>
          <w:color w:val="000000" w:themeColor="text1"/>
          <w:sz w:val="24"/>
        </w:rPr>
        <w:t>社会形态更替是由生产力与生产关系的矛盾运动决定的，具有客观必然性。</w:t>
      </w:r>
      <w:r w:rsidRPr="002A0AF6">
        <w:rPr>
          <w:rFonts w:ascii="Times New Roman" w:eastAsia="楷体" w:hAnsi="Times New Roman" w:cs="Times New Roman"/>
          <w:b/>
          <w:color w:val="000000" w:themeColor="text1"/>
          <w:sz w:val="24"/>
        </w:rPr>
        <w:t xml:space="preserve"> </w:t>
      </w:r>
      <w:r w:rsidRPr="002A0AF6">
        <w:rPr>
          <w:rFonts w:ascii="Times New Roman" w:eastAsia="楷体" w:hAnsi="Times New Roman" w:cs="Times New Roman"/>
          <w:b/>
          <w:color w:val="000000" w:themeColor="text1"/>
          <w:sz w:val="24"/>
        </w:rPr>
        <w:t>各社会形态的更替均经历漫长时间，社会主义虽历史不长但在实践中发展，印证了更替过程的长期性，</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入选。材料体现的是人类社会的发展是有规律的，具有长期性，不体现社会形态的更替具有多样性，</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不选。材料未涉及不同社会形态的社会层级结构呈现复杂性，</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不选。</w:t>
      </w:r>
      <w:r w:rsidRPr="002A0AF6">
        <w:rPr>
          <w:rFonts w:ascii="Times New Roman" w:eastAsia="楷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．习近平指出：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今年是</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十四五</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规划收官之年，要在加紧落实规划目标任务的同时，适应形势变化，把握战略重点，科学谋划好</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十五五</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时期经济社会发展。</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自新中国成立以来，我国编制并实施了</w:t>
      </w:r>
      <w:r w:rsidRPr="002A0AF6">
        <w:rPr>
          <w:rFonts w:ascii="Times New Roman" w:eastAsia="宋体" w:hAnsi="Times New Roman" w:cs="Times New Roman"/>
          <w:b/>
          <w:color w:val="000000" w:themeColor="text1"/>
          <w:sz w:val="24"/>
        </w:rPr>
        <w:t>14</w:t>
      </w:r>
      <w:r w:rsidRPr="002A0AF6">
        <w:rPr>
          <w:rFonts w:ascii="Times New Roman" w:eastAsia="宋体" w:hAnsi="Times New Roman" w:cs="Times New Roman" w:hint="eastAsia"/>
          <w:b/>
          <w:color w:val="000000" w:themeColor="text1"/>
          <w:sz w:val="24"/>
        </w:rPr>
        <w:t>个五年规划</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计划</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，创造了经济快速发展奇迹和社会长期稳定奇迹。科学制定和接续实施五年规划是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lastRenderedPageBreak/>
        <w:t>①</w:t>
      </w:r>
      <w:r w:rsidRPr="002A0AF6">
        <w:rPr>
          <w:rFonts w:ascii="Times New Roman" w:eastAsia="宋体" w:hAnsi="Times New Roman" w:cs="Times New Roman"/>
          <w:b/>
          <w:color w:val="000000" w:themeColor="text1"/>
          <w:sz w:val="24"/>
        </w:rPr>
        <w:t xml:space="preserve">社会主义革命的必要准备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我们党治国理政一条重要经验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我国社会主义建设经验的初步总结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中国特色社会主义一个重要政治优势</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社会主义革命早已完成，而五年规划主要是围绕社会主义建设等阶段开展，不是社会主义革命的必要准备，</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排除。新中国成立以来，我国长期编制并实施五年规划，对推动经</w:t>
      </w:r>
      <w:r w:rsidRPr="002A0AF6">
        <w:rPr>
          <w:rFonts w:ascii="Times New Roman" w:eastAsia="楷体" w:hAnsi="Times New Roman" w:cs="Times New Roman" w:hint="eastAsia"/>
          <w:b/>
          <w:color w:val="000000" w:themeColor="text1"/>
          <w:sz w:val="24"/>
        </w:rPr>
        <w:t>济社会发展等起到了重大作用，是党治国理政的一条重要经验，</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正确。经过多年实践，五年规划不断完善并持续发挥作用，不能简单说是社会主义建设经验的初步总结，</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排除。这种科学制定和接续实施五年规划的做法体现了我国制度优势，能有效凝聚力量、推动发展等，是中国特色社会主义一个重要政治优势，</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．大宗鲜花拍卖常采用降价式拍卖模式，即拍卖师确定起拍价后，交易大屏上的价格逐次下降，竞买人根据自己的预估价，在能接受的价位上按下竞价按钮，价高者得，现有</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名竞买人参加一单鲜花拍卖，开拍前，不考虑其他因素，他们的</w:t>
      </w:r>
      <w:r w:rsidRPr="002A0AF6">
        <w:rPr>
          <w:rFonts w:ascii="Times New Roman" w:eastAsia="宋体" w:hAnsi="Times New Roman" w:cs="Times New Roman" w:hint="eastAsia"/>
          <w:b/>
          <w:color w:val="000000" w:themeColor="text1"/>
          <w:sz w:val="24"/>
        </w:rPr>
        <w:t>估价思路如下：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4"/>
        <w:gridCol w:w="1180"/>
        <w:gridCol w:w="1180"/>
        <w:gridCol w:w="939"/>
        <w:gridCol w:w="939"/>
      </w:tblGrid>
      <w:tr w:rsidR="002A0AF6" w:rsidRPr="002A0AF6" w:rsidTr="00106F55">
        <w:trPr>
          <w:jc w:val="center"/>
        </w:trPr>
        <w:tc>
          <w:tcPr>
            <w:tcW w:w="0" w:type="auto"/>
            <w:tcBorders>
              <w:tl2br w:val="single" w:sz="4" w:space="0" w:color="auto"/>
            </w:tcBorders>
            <w:shd w:val="clear" w:color="auto" w:fill="auto"/>
            <w:vAlign w:val="center"/>
          </w:tcPr>
          <w:p w:rsidR="0075731D" w:rsidRPr="002A0AF6" w:rsidRDefault="00106F55" w:rsidP="00C24343">
            <w:pPr>
              <w:pStyle w:val="a3"/>
              <w:tabs>
                <w:tab w:val="left" w:pos="4200"/>
              </w:tabs>
              <w:snapToGrid w:val="0"/>
              <w:spacing w:line="360" w:lineRule="auto"/>
              <w:jc w:val="right"/>
              <w:rPr>
                <w:rFonts w:ascii="Times New Roman" w:eastAsia="宋体" w:hAnsi="Times New Roman" w:cs="Times New Roman"/>
                <w:b/>
                <w:color w:val="000000" w:themeColor="text1"/>
                <w:sz w:val="24"/>
              </w:rPr>
            </w:pPr>
            <w:r>
              <w:rPr>
                <w:rFonts w:ascii="Times New Roman" w:eastAsia="宋体" w:hAnsi="Times New Roman" w:cs="Times New Roman" w:hint="eastAsia"/>
                <w:b/>
                <w:color w:val="000000" w:themeColor="text1"/>
                <w:sz w:val="24"/>
              </w:rPr>
              <w:t xml:space="preserve">　　　　</w:t>
            </w:r>
            <w:r w:rsidR="0075731D" w:rsidRPr="002A0AF6">
              <w:rPr>
                <w:rFonts w:ascii="Times New Roman" w:eastAsia="宋体" w:hAnsi="Times New Roman" w:cs="Times New Roman"/>
                <w:b/>
                <w:color w:val="000000" w:themeColor="text1"/>
                <w:sz w:val="24"/>
              </w:rPr>
              <w:t>影响因素</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竞买人</w:t>
            </w:r>
            <w:r w:rsidRPr="002A0AF6">
              <w:rPr>
                <w:rFonts w:ascii="Times New Roman" w:eastAsia="宋体" w:hAnsi="Times New Roman" w:cs="Times New Roman"/>
                <w:b/>
                <w:color w:val="000000" w:themeColor="text1"/>
                <w:sz w:val="24"/>
              </w:rPr>
              <w:t xml:space="preserve"> </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同品类供</w:t>
            </w:r>
          </w:p>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货量增加</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花色稀</w:t>
            </w:r>
          </w:p>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有、热门</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质检评</w:t>
            </w:r>
          </w:p>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级高</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预估价</w:t>
            </w:r>
          </w:p>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元</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枝</w:t>
            </w:r>
            <w:r w:rsidRPr="002A0AF6">
              <w:rPr>
                <w:rFonts w:ascii="Times New Roman" w:eastAsia="宋体" w:hAnsi="Times New Roman" w:cs="Times New Roman"/>
                <w:b/>
                <w:color w:val="000000" w:themeColor="text1"/>
                <w:sz w:val="24"/>
              </w:rPr>
              <w:t>)</w:t>
            </w:r>
          </w:p>
        </w:tc>
      </w:tr>
      <w:tr w:rsidR="002A0AF6" w:rsidRPr="002A0AF6" w:rsidTr="00106F55">
        <w:trPr>
          <w:jc w:val="center"/>
        </w:trPr>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号</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2.1</w:t>
            </w:r>
          </w:p>
        </w:tc>
      </w:tr>
      <w:tr w:rsidR="002A0AF6" w:rsidRPr="002A0AF6" w:rsidTr="00106F55">
        <w:trPr>
          <w:jc w:val="center"/>
        </w:trPr>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号</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1.7</w:t>
            </w:r>
          </w:p>
        </w:tc>
      </w:tr>
      <w:tr w:rsidR="002A0AF6" w:rsidRPr="002A0AF6" w:rsidTr="00106F55">
        <w:trPr>
          <w:jc w:val="center"/>
        </w:trPr>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号</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1.8</w:t>
            </w:r>
          </w:p>
        </w:tc>
      </w:tr>
      <w:tr w:rsidR="002A0AF6" w:rsidRPr="002A0AF6" w:rsidTr="00106F55">
        <w:trPr>
          <w:jc w:val="center"/>
        </w:trPr>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号</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1.9</w:t>
            </w:r>
          </w:p>
        </w:tc>
      </w:tr>
      <w:tr w:rsidR="002A0AF6" w:rsidRPr="002A0AF6" w:rsidTr="00106F55">
        <w:trPr>
          <w:jc w:val="center"/>
        </w:trPr>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号</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p>
        </w:tc>
        <w:tc>
          <w:tcPr>
            <w:tcW w:w="0" w:type="auto"/>
            <w:shd w:val="clear" w:color="auto" w:fill="auto"/>
            <w:vAlign w:val="center"/>
          </w:tcPr>
          <w:p w:rsidR="0075731D" w:rsidRPr="002A0AF6" w:rsidRDefault="0075731D"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1.8</w:t>
            </w:r>
          </w:p>
        </w:tc>
      </w:tr>
    </w:tbl>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注：</w:t>
      </w:r>
      <w:r w:rsidRPr="00A73771">
        <w:rPr>
          <w:rFonts w:ascii="宋体" w:eastAsia="宋体" w:hAnsi="宋体" w:cs="Times New Roman"/>
          <w:b/>
          <w:color w:val="000000" w:themeColor="text1"/>
          <w:sz w:val="24"/>
        </w:rPr>
        <w:t>“</w:t>
      </w:r>
      <w:r w:rsidRPr="002A0AF6">
        <w:rPr>
          <w:rFonts w:ascii="宋体" w:eastAsia="宋体" w:hAnsi="宋体" w:cs="Times New Roman"/>
          <w:b/>
          <w:color w:val="000000" w:themeColor="text1"/>
          <w:sz w:val="24"/>
        </w:rPr>
        <w:t>↑</w:t>
      </w:r>
      <w:r w:rsidRPr="00A73771">
        <w:rPr>
          <w:rFonts w:ascii="宋体" w:eastAsia="宋体" w:hAnsi="宋体" w:cs="Times New Roman"/>
          <w:b/>
          <w:color w:val="000000" w:themeColor="text1"/>
          <w:sz w:val="24"/>
        </w:rPr>
        <w:t>”“</w:t>
      </w:r>
      <w:r w:rsidRPr="002A0AF6">
        <w:rPr>
          <w:rFonts w:ascii="宋体" w:eastAsia="宋体" w:hAnsi="宋体"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华文仿宋" w:hAnsi="Times New Roman" w:cs="Times New Roman"/>
          <w:b/>
          <w:color w:val="000000" w:themeColor="text1"/>
          <w:sz w:val="24"/>
        </w:rPr>
        <w:t>分别表示预期涨价、降价。</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开拍后，拍卖师确定起拍价是</w:t>
      </w: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元</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枝。据此可推断</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最可能的成交价是</w:t>
      </w: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元</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枝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最可能的成交价是</w:t>
      </w:r>
      <w:r w:rsidRPr="002A0AF6">
        <w:rPr>
          <w:rFonts w:ascii="Times New Roman" w:eastAsia="宋体" w:hAnsi="Times New Roman" w:cs="Times New Roman"/>
          <w:b/>
          <w:color w:val="000000" w:themeColor="text1"/>
          <w:sz w:val="24"/>
        </w:rPr>
        <w:t>2.1</w:t>
      </w:r>
      <w:r w:rsidRPr="002A0AF6">
        <w:rPr>
          <w:rFonts w:ascii="Times New Roman" w:eastAsia="宋体" w:hAnsi="Times New Roman" w:cs="Times New Roman"/>
          <w:b/>
          <w:color w:val="000000" w:themeColor="text1"/>
          <w:sz w:val="24"/>
        </w:rPr>
        <w:t>元</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枝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估价思路正确的是</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号、</w:t>
      </w: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号</w:t>
      </w:r>
      <w:r w:rsidR="00106F55">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估价思路正确的是</w:t>
      </w: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号、</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号</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根据题干可知拍卖模式为价格从起拍价</w:t>
      </w:r>
      <w:r w:rsidRPr="002A0AF6">
        <w:rPr>
          <w:rFonts w:ascii="Times New Roman" w:eastAsia="楷体" w:hAnsi="Times New Roman" w:cs="Times New Roman"/>
          <w:b/>
          <w:color w:val="000000" w:themeColor="text1"/>
          <w:sz w:val="24"/>
        </w:rPr>
        <w:t>(2</w:t>
      </w:r>
      <w:r w:rsidRPr="002A0AF6">
        <w:rPr>
          <w:rFonts w:ascii="Times New Roman" w:eastAsia="楷体" w:hAnsi="Times New Roman" w:cs="Times New Roman"/>
          <w:b/>
          <w:color w:val="000000" w:themeColor="text1"/>
          <w:sz w:val="24"/>
        </w:rPr>
        <w:t>元</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枝</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逐次下降，竞买人在价格降至其预估价</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保留价</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时出价，价高者得。竞买人的预估价排序为：</w:t>
      </w:r>
      <w:r w:rsidRPr="002A0AF6">
        <w:rPr>
          <w:rFonts w:ascii="Times New Roman" w:eastAsia="楷体" w:hAnsi="Times New Roman" w:cs="Times New Roman"/>
          <w:b/>
          <w:color w:val="000000" w:themeColor="text1"/>
          <w:sz w:val="24"/>
        </w:rPr>
        <w:t>1</w:t>
      </w:r>
      <w:r w:rsidRPr="002A0AF6">
        <w:rPr>
          <w:rFonts w:ascii="Times New Roman" w:eastAsia="楷体" w:hAnsi="Times New Roman" w:cs="Times New Roman"/>
          <w:b/>
          <w:color w:val="000000" w:themeColor="text1"/>
          <w:sz w:val="24"/>
        </w:rPr>
        <w:t>号</w:t>
      </w:r>
      <w:r w:rsidRPr="002A0AF6">
        <w:rPr>
          <w:rFonts w:ascii="Times New Roman" w:eastAsia="楷体" w:hAnsi="Times New Roman" w:cs="Times New Roman"/>
          <w:b/>
          <w:color w:val="000000" w:themeColor="text1"/>
          <w:sz w:val="24"/>
        </w:rPr>
        <w:t>(2.1</w:t>
      </w:r>
      <w:r w:rsidRPr="002A0AF6">
        <w:rPr>
          <w:rFonts w:ascii="Times New Roman" w:eastAsia="楷体" w:hAnsi="Times New Roman" w:cs="Times New Roman"/>
          <w:b/>
          <w:color w:val="000000" w:themeColor="text1"/>
          <w:sz w:val="24"/>
        </w:rPr>
        <w:t>元</w:t>
      </w:r>
      <w:r w:rsidRPr="002A0AF6">
        <w:rPr>
          <w:rFonts w:ascii="Times New Roman" w:eastAsia="楷体" w:hAnsi="Times New Roman" w:cs="Times New Roman"/>
          <w:b/>
          <w:color w:val="000000" w:themeColor="text1"/>
          <w:sz w:val="24"/>
        </w:rPr>
        <w:t>) &gt; 4</w:t>
      </w:r>
      <w:r w:rsidRPr="002A0AF6">
        <w:rPr>
          <w:rFonts w:ascii="Times New Roman" w:eastAsia="楷体" w:hAnsi="Times New Roman" w:cs="Times New Roman"/>
          <w:b/>
          <w:color w:val="000000" w:themeColor="text1"/>
          <w:sz w:val="24"/>
        </w:rPr>
        <w:t>号</w:t>
      </w:r>
      <w:r w:rsidRPr="002A0AF6">
        <w:rPr>
          <w:rFonts w:ascii="Times New Roman" w:eastAsia="楷体" w:hAnsi="Times New Roman" w:cs="Times New Roman"/>
          <w:b/>
          <w:color w:val="000000" w:themeColor="text1"/>
          <w:sz w:val="24"/>
        </w:rPr>
        <w:t>(1.9</w:t>
      </w:r>
      <w:r w:rsidRPr="002A0AF6">
        <w:rPr>
          <w:rFonts w:ascii="Times New Roman" w:eastAsia="楷体" w:hAnsi="Times New Roman" w:cs="Times New Roman"/>
          <w:b/>
          <w:color w:val="000000" w:themeColor="text1"/>
          <w:sz w:val="24"/>
        </w:rPr>
        <w:t>元</w:t>
      </w:r>
      <w:r w:rsidRPr="002A0AF6">
        <w:rPr>
          <w:rFonts w:ascii="Times New Roman" w:eastAsia="楷体" w:hAnsi="Times New Roman" w:cs="Times New Roman"/>
          <w:b/>
          <w:color w:val="000000" w:themeColor="text1"/>
          <w:sz w:val="24"/>
        </w:rPr>
        <w:t>)&gt;3</w:t>
      </w:r>
      <w:r w:rsidRPr="002A0AF6">
        <w:rPr>
          <w:rFonts w:ascii="Times New Roman" w:eastAsia="楷体" w:hAnsi="Times New Roman" w:cs="Times New Roman"/>
          <w:b/>
          <w:color w:val="000000" w:themeColor="text1"/>
          <w:sz w:val="24"/>
        </w:rPr>
        <w:t>号、</w:t>
      </w:r>
      <w:r w:rsidRPr="002A0AF6">
        <w:rPr>
          <w:rFonts w:ascii="Times New Roman" w:eastAsia="楷体" w:hAnsi="Times New Roman" w:cs="Times New Roman"/>
          <w:b/>
          <w:color w:val="000000" w:themeColor="text1"/>
          <w:sz w:val="24"/>
        </w:rPr>
        <w:t>5</w:t>
      </w:r>
      <w:r w:rsidRPr="002A0AF6">
        <w:rPr>
          <w:rFonts w:ascii="Times New Roman" w:eastAsia="楷体" w:hAnsi="Times New Roman" w:cs="Times New Roman"/>
          <w:b/>
          <w:color w:val="000000" w:themeColor="text1"/>
          <w:sz w:val="24"/>
        </w:rPr>
        <w:t>号</w:t>
      </w:r>
      <w:r w:rsidRPr="002A0AF6">
        <w:rPr>
          <w:rFonts w:ascii="Times New Roman" w:eastAsia="楷体" w:hAnsi="Times New Roman" w:cs="Times New Roman"/>
          <w:b/>
          <w:color w:val="000000" w:themeColor="text1"/>
          <w:sz w:val="24"/>
        </w:rPr>
        <w:t>(1.8</w:t>
      </w:r>
      <w:r w:rsidRPr="002A0AF6">
        <w:rPr>
          <w:rFonts w:ascii="Times New Roman" w:eastAsia="楷体" w:hAnsi="Times New Roman" w:cs="Times New Roman"/>
          <w:b/>
          <w:color w:val="000000" w:themeColor="text1"/>
          <w:sz w:val="24"/>
        </w:rPr>
        <w:t>元</w:t>
      </w:r>
      <w:r w:rsidRPr="002A0AF6">
        <w:rPr>
          <w:rFonts w:ascii="Times New Roman" w:eastAsia="楷体" w:hAnsi="Times New Roman" w:cs="Times New Roman"/>
          <w:b/>
          <w:color w:val="000000" w:themeColor="text1"/>
          <w:sz w:val="24"/>
        </w:rPr>
        <w:t>) &gt;2</w:t>
      </w:r>
      <w:r w:rsidRPr="002A0AF6">
        <w:rPr>
          <w:rFonts w:ascii="Times New Roman" w:eastAsia="楷体" w:hAnsi="Times New Roman" w:cs="Times New Roman"/>
          <w:b/>
          <w:color w:val="000000" w:themeColor="text1"/>
          <w:sz w:val="24"/>
        </w:rPr>
        <w:t>号</w:t>
      </w:r>
      <w:r w:rsidRPr="002A0AF6">
        <w:rPr>
          <w:rFonts w:ascii="Times New Roman" w:eastAsia="楷体" w:hAnsi="Times New Roman" w:cs="Times New Roman"/>
          <w:b/>
          <w:color w:val="000000" w:themeColor="text1"/>
          <w:sz w:val="24"/>
        </w:rPr>
        <w:t>(1.7</w:t>
      </w:r>
      <w:r w:rsidRPr="002A0AF6">
        <w:rPr>
          <w:rFonts w:ascii="Times New Roman" w:eastAsia="楷体" w:hAnsi="Times New Roman" w:cs="Times New Roman"/>
          <w:b/>
          <w:color w:val="000000" w:themeColor="text1"/>
          <w:sz w:val="24"/>
        </w:rPr>
        <w:t>元</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 xml:space="preserve"> </w:t>
      </w:r>
      <w:r w:rsidRPr="002A0AF6">
        <w:rPr>
          <w:rFonts w:ascii="Times New Roman" w:eastAsia="楷体" w:hAnsi="Times New Roman" w:cs="Times New Roman"/>
          <w:b/>
          <w:color w:val="000000" w:themeColor="text1"/>
          <w:sz w:val="24"/>
        </w:rPr>
        <w:t>起拍价为</w:t>
      </w:r>
      <w:r w:rsidRPr="002A0AF6">
        <w:rPr>
          <w:rFonts w:ascii="Times New Roman" w:eastAsia="楷体" w:hAnsi="Times New Roman" w:cs="Times New Roman"/>
          <w:b/>
          <w:color w:val="000000" w:themeColor="text1"/>
          <w:sz w:val="24"/>
        </w:rPr>
        <w:t>2</w:t>
      </w:r>
      <w:r w:rsidRPr="002A0AF6">
        <w:rPr>
          <w:rFonts w:ascii="Times New Roman" w:eastAsia="楷体" w:hAnsi="Times New Roman" w:cs="Times New Roman"/>
          <w:b/>
          <w:color w:val="000000" w:themeColor="text1"/>
          <w:sz w:val="24"/>
        </w:rPr>
        <w:t>元</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枝，低于</w:t>
      </w:r>
      <w:r w:rsidRPr="002A0AF6">
        <w:rPr>
          <w:rFonts w:ascii="Times New Roman" w:eastAsia="楷体" w:hAnsi="Times New Roman" w:cs="Times New Roman"/>
          <w:b/>
          <w:color w:val="000000" w:themeColor="text1"/>
          <w:sz w:val="24"/>
        </w:rPr>
        <w:t>1</w:t>
      </w:r>
      <w:r w:rsidRPr="002A0AF6">
        <w:rPr>
          <w:rFonts w:ascii="Times New Roman" w:eastAsia="楷体" w:hAnsi="Times New Roman" w:cs="Times New Roman"/>
          <w:b/>
          <w:color w:val="000000" w:themeColor="text1"/>
          <w:sz w:val="24"/>
        </w:rPr>
        <w:t>号的保留价</w:t>
      </w:r>
      <w:r w:rsidRPr="002A0AF6">
        <w:rPr>
          <w:rFonts w:ascii="Times New Roman" w:eastAsia="楷体" w:hAnsi="Times New Roman" w:cs="Times New Roman"/>
          <w:b/>
          <w:color w:val="000000" w:themeColor="text1"/>
          <w:sz w:val="24"/>
        </w:rPr>
        <w:t>(2.1</w:t>
      </w:r>
      <w:r w:rsidRPr="002A0AF6">
        <w:rPr>
          <w:rFonts w:ascii="Times New Roman" w:eastAsia="楷体" w:hAnsi="Times New Roman" w:cs="Times New Roman"/>
          <w:b/>
          <w:color w:val="000000" w:themeColor="text1"/>
          <w:sz w:val="24"/>
        </w:rPr>
        <w:t>元</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。因此，</w:t>
      </w:r>
      <w:r w:rsidRPr="002A0AF6">
        <w:rPr>
          <w:rFonts w:ascii="Times New Roman" w:eastAsia="楷体" w:hAnsi="Times New Roman" w:cs="Times New Roman"/>
          <w:b/>
          <w:color w:val="000000" w:themeColor="text1"/>
          <w:sz w:val="24"/>
        </w:rPr>
        <w:t>1</w:t>
      </w:r>
      <w:r w:rsidRPr="002A0AF6">
        <w:rPr>
          <w:rFonts w:ascii="Times New Roman" w:eastAsia="楷体" w:hAnsi="Times New Roman" w:cs="Times New Roman"/>
          <w:b/>
          <w:color w:val="000000" w:themeColor="text1"/>
          <w:sz w:val="24"/>
        </w:rPr>
        <w:t>号为了获得鲜花且在自己预估价范围内，最可能在</w:t>
      </w:r>
      <w:r w:rsidRPr="002A0AF6">
        <w:rPr>
          <w:rFonts w:ascii="Times New Roman" w:eastAsia="楷体" w:hAnsi="Times New Roman" w:cs="Times New Roman"/>
          <w:b/>
          <w:color w:val="000000" w:themeColor="text1"/>
          <w:sz w:val="24"/>
        </w:rPr>
        <w:t>2</w:t>
      </w:r>
      <w:r w:rsidRPr="002A0AF6">
        <w:rPr>
          <w:rFonts w:ascii="Times New Roman" w:eastAsia="楷体" w:hAnsi="Times New Roman" w:cs="Times New Roman"/>
          <w:b/>
          <w:color w:val="000000" w:themeColor="text1"/>
          <w:sz w:val="24"/>
        </w:rPr>
        <w:t>元</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枝就按下竞价按钮，这个价格高于其他合理估价竞买人的价位，因此最可能的成交价是</w:t>
      </w:r>
      <w:r w:rsidRPr="002A0AF6">
        <w:rPr>
          <w:rFonts w:ascii="Times New Roman" w:eastAsia="楷体" w:hAnsi="Times New Roman" w:cs="Times New Roman"/>
          <w:b/>
          <w:color w:val="000000" w:themeColor="text1"/>
          <w:sz w:val="24"/>
        </w:rPr>
        <w:t>2</w:t>
      </w:r>
      <w:r w:rsidRPr="002A0AF6">
        <w:rPr>
          <w:rFonts w:ascii="Times New Roman" w:eastAsia="楷体" w:hAnsi="Times New Roman" w:cs="Times New Roman"/>
          <w:b/>
          <w:color w:val="000000" w:themeColor="text1"/>
          <w:sz w:val="24"/>
        </w:rPr>
        <w:t>元</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枝，而不是</w:t>
      </w:r>
      <w:r w:rsidRPr="002A0AF6">
        <w:rPr>
          <w:rFonts w:ascii="Times New Roman" w:eastAsia="楷体" w:hAnsi="Times New Roman" w:cs="Times New Roman"/>
          <w:b/>
          <w:color w:val="000000" w:themeColor="text1"/>
          <w:sz w:val="24"/>
        </w:rPr>
        <w:t>2.1</w:t>
      </w:r>
      <w:r w:rsidRPr="002A0AF6">
        <w:rPr>
          <w:rFonts w:ascii="Times New Roman" w:eastAsia="楷体" w:hAnsi="Times New Roman" w:cs="Times New Roman"/>
          <w:b/>
          <w:color w:val="000000" w:themeColor="text1"/>
          <w:sz w:val="24"/>
        </w:rPr>
        <w:t>元</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枝，</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符合题意，</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不符合题意。供求影响价格，同品类供货量增加，会使得商品供过于求，价格有下降趋势</w:t>
      </w:r>
      <w:r w:rsidRPr="002A0AF6">
        <w:rPr>
          <w:rFonts w:ascii="Times New Roman" w:eastAsia="楷体" w:hAnsi="Times New Roman" w:cs="Times New Roman"/>
          <w:b/>
          <w:color w:val="000000" w:themeColor="text1"/>
          <w:sz w:val="24"/>
        </w:rPr>
        <w:t>(</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；花色稀有、热门会使商品供不应求，价格有上升趋势</w:t>
      </w:r>
      <w:r w:rsidRPr="002A0AF6">
        <w:rPr>
          <w:rFonts w:ascii="Times New Roman" w:eastAsia="楷体" w:hAnsi="Times New Roman" w:cs="Times New Roman"/>
          <w:b/>
          <w:color w:val="000000" w:themeColor="text1"/>
          <w:sz w:val="24"/>
        </w:rPr>
        <w:t>(</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；质检评级高会提升商品的价值，使价格有上升趋势</w:t>
      </w:r>
      <w:r w:rsidRPr="002A0AF6">
        <w:rPr>
          <w:rFonts w:ascii="Times New Roman" w:eastAsia="楷体" w:hAnsi="Times New Roman" w:cs="Times New Roman"/>
          <w:b/>
          <w:color w:val="000000" w:themeColor="text1"/>
          <w:sz w:val="24"/>
        </w:rPr>
        <w:t>(</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1</w:t>
      </w:r>
      <w:r w:rsidRPr="002A0AF6">
        <w:rPr>
          <w:rFonts w:ascii="Times New Roman" w:eastAsia="楷体" w:hAnsi="Times New Roman" w:cs="Times New Roman"/>
          <w:b/>
          <w:color w:val="000000" w:themeColor="text1"/>
          <w:sz w:val="24"/>
        </w:rPr>
        <w:t>号、</w:t>
      </w:r>
      <w:r w:rsidRPr="002A0AF6">
        <w:rPr>
          <w:rFonts w:ascii="Times New Roman" w:eastAsia="楷体" w:hAnsi="Times New Roman" w:cs="Times New Roman"/>
          <w:b/>
          <w:color w:val="000000" w:themeColor="text1"/>
          <w:sz w:val="24"/>
        </w:rPr>
        <w:t>4</w:t>
      </w:r>
      <w:r w:rsidRPr="002A0AF6">
        <w:rPr>
          <w:rFonts w:ascii="Times New Roman" w:eastAsia="楷体" w:hAnsi="Times New Roman" w:cs="Times New Roman"/>
          <w:b/>
          <w:color w:val="000000" w:themeColor="text1"/>
          <w:sz w:val="24"/>
        </w:rPr>
        <w:t>号估价思路正确。</w:t>
      </w:r>
      <w:r w:rsidRPr="002A0AF6">
        <w:rPr>
          <w:rFonts w:ascii="Times New Roman" w:eastAsia="楷体" w:hAnsi="Times New Roman" w:cs="Times New Roman"/>
          <w:b/>
          <w:color w:val="000000" w:themeColor="text1"/>
          <w:sz w:val="24"/>
        </w:rPr>
        <w:t>2</w:t>
      </w:r>
      <w:r w:rsidRPr="002A0AF6">
        <w:rPr>
          <w:rFonts w:ascii="Times New Roman" w:eastAsia="楷体" w:hAnsi="Times New Roman" w:cs="Times New Roman"/>
          <w:b/>
          <w:color w:val="000000" w:themeColor="text1"/>
          <w:sz w:val="24"/>
        </w:rPr>
        <w:t>号</w:t>
      </w:r>
      <w:r w:rsidRPr="002A0AF6">
        <w:rPr>
          <w:rFonts w:ascii="Times New Roman" w:eastAsia="楷体" w:hAnsi="Times New Roman" w:cs="Times New Roman" w:hint="eastAsia"/>
          <w:b/>
          <w:color w:val="000000" w:themeColor="text1"/>
          <w:sz w:val="24"/>
        </w:rPr>
        <w:t>和</w:t>
      </w:r>
      <w:r w:rsidRPr="002A0AF6">
        <w:rPr>
          <w:rFonts w:ascii="Times New Roman" w:eastAsia="楷体" w:hAnsi="Times New Roman" w:cs="Times New Roman"/>
          <w:b/>
          <w:color w:val="000000" w:themeColor="text1"/>
          <w:sz w:val="24"/>
        </w:rPr>
        <w:t>5</w:t>
      </w:r>
      <w:r w:rsidRPr="002A0AF6">
        <w:rPr>
          <w:rFonts w:ascii="Times New Roman" w:eastAsia="楷体" w:hAnsi="Times New Roman" w:cs="Times New Roman"/>
          <w:b/>
          <w:color w:val="000000" w:themeColor="text1"/>
          <w:sz w:val="24"/>
        </w:rPr>
        <w:t>号对质检评级高的估价不正确，</w:t>
      </w:r>
      <w:r w:rsidRPr="002A0AF6">
        <w:rPr>
          <w:rFonts w:ascii="Times New Roman" w:eastAsia="楷体" w:hAnsi="Times New Roman" w:cs="Times New Roman"/>
          <w:b/>
          <w:color w:val="000000" w:themeColor="text1"/>
          <w:sz w:val="24"/>
        </w:rPr>
        <w:t>3</w:t>
      </w:r>
      <w:r w:rsidRPr="002A0AF6">
        <w:rPr>
          <w:rFonts w:ascii="Times New Roman" w:eastAsia="楷体" w:hAnsi="Times New Roman" w:cs="Times New Roman"/>
          <w:b/>
          <w:color w:val="000000" w:themeColor="text1"/>
          <w:sz w:val="24"/>
        </w:rPr>
        <w:t>号对花色稀有、热门的估价不正确，</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符合题意，</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不符合题意。</w:t>
      </w:r>
      <w:r w:rsidRPr="002A0AF6">
        <w:rPr>
          <w:rFonts w:ascii="Times New Roman" w:eastAsia="楷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．小明在某公众平台兼职从事法律咨询服务，兼职收入包括：一是通过法律咨询获得收入：二是达到一定粉丝量后，接广告获得收入，平台从中抽成</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。由此可知</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小明的广告收入是按生产要素参与分配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小明从事法律咨询的收入属于按劳分配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小明从事法律咨询可以增加其收入来源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平台抽成补充了现有收入分配要素类型</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广告收入通常与粉丝量相关，可以视为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数据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或</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影响力</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这种生产要素，因此可以认为是按生产要素分配，</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正确。按劳分配存在于公有制经济中，小明在公众平台兼职，不属于公有制经济范畴，其法律咨询收入并非按劳分配，</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排除。小明原本可能有其他收入，现在通过法律咨询和广告获得额外收入，收入来源增加，</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正确。平台抽成是平台盈利方式，平台凭借所具有的资本、技术、管理、数据等获得抽成，这并没有补充我国现有劳动、资本、土地、知识、技术、管理、数据等收入分配要素类型，</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村村</w:t>
      </w:r>
      <w:r w:rsidRPr="002A0AF6">
        <w:rPr>
          <w:rFonts w:ascii="Times New Roman" w:eastAsia="宋体" w:hAnsi="Times New Roman" w:cs="Times New Roman" w:hint="eastAsia"/>
          <w:b/>
          <w:color w:val="000000" w:themeColor="text1"/>
          <w:sz w:val="24"/>
        </w:rPr>
        <w:t>寨寨哎，打起鼓、敲起锣，阿低唱新歌。共产党光辉照边疆，山笑水笑人欢乐</w:t>
      </w:r>
      <w:r w:rsidRPr="002A0AF6">
        <w:rPr>
          <w:rFonts w:ascii="宋体" w:eastAsia="宋体" w:hAnsi="宋体" w:cs="Times New Roman" w:hint="eastAsia"/>
          <w:b/>
          <w:color w:val="000000" w:themeColor="text1"/>
          <w:sz w:val="24"/>
        </w:rPr>
        <w:t>……</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这首上世纪</w:t>
      </w:r>
      <w:r w:rsidRPr="002A0AF6">
        <w:rPr>
          <w:rFonts w:ascii="Times New Roman" w:eastAsia="宋体" w:hAnsi="Times New Roman" w:cs="Times New Roman"/>
          <w:b/>
          <w:color w:val="000000" w:themeColor="text1"/>
          <w:sz w:val="24"/>
        </w:rPr>
        <w:t>60</w:t>
      </w:r>
      <w:r w:rsidRPr="002A0AF6">
        <w:rPr>
          <w:rFonts w:ascii="Times New Roman" w:eastAsia="宋体" w:hAnsi="Times New Roman" w:cs="Times New Roman"/>
          <w:b/>
          <w:color w:val="000000" w:themeColor="text1"/>
          <w:sz w:val="24"/>
        </w:rPr>
        <w:t>年代传遍大江南北的《阿佤人民唱新歌》，在</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首届云南民歌大家唱</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赛歌会再次唱响，引起了台上台下各族群众的热烈响应。由此可见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民歌成为人们向往和歌颂美好生活的新形式</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这首歌唱出了阿佤人民对共产党的感恩之情</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民歌大家唱</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能够促进民族交往交流交融</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赛歌会展现了民族间的互信互助、互谅互让</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民歌是一种历史悠久的艺术形式，并不是人们向往和歌颂美好生活的新形式，</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说法错误。从歌词</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共产党光辉照边疆，山笑水笑人欢乐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，可以看出这首歌唱出了阿佤人民对共产党的感恩之情，</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符合题意。</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首届云南民歌大家唱</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赛歌会聚集各族群众，通过民歌共享文化、增进交流，体现了促进民族交往交流交融作用，</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符合题意。赛歌会展现的是文化共鸣与情感联结，民族间通过民歌进行交流，没有体现民族间的互信互助、互谅互让，</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不符合题意。</w:t>
      </w:r>
      <w:r w:rsidRPr="002A0AF6">
        <w:rPr>
          <w:rFonts w:ascii="Times New Roman" w:eastAsia="楷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年，云南省人大常委会依据《云南省人民代表大会代表履职评价办法</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试</w:t>
      </w:r>
      <w:r w:rsidRPr="002A0AF6">
        <w:rPr>
          <w:rFonts w:ascii="Times New Roman" w:eastAsia="宋体" w:hAnsi="Times New Roman" w:cs="Times New Roman" w:hint="eastAsia"/>
          <w:b/>
          <w:color w:val="000000" w:themeColor="text1"/>
          <w:sz w:val="24"/>
        </w:rPr>
        <w:t>行</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》圆满完成了首次省人大代表履职评价工作。评价主要围绕人大代表模范作用发挥、会议期间工作、闭会期间活动等方面履职情况进行。此举旨在</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调动人大代表参政议政积极性和主动性</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从根本上提高人大代表所提议案的质量</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增强人大代表依法履职的意识和责任感</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进一步密切人大代表同人民群众的联系</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参政议政是人民政协的职能，</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说法错误。对人大代表履职评价，能在一定程度上促进议案质量的</w:t>
      </w:r>
      <w:r w:rsidRPr="002A0AF6">
        <w:rPr>
          <w:rFonts w:ascii="Times New Roman" w:eastAsia="楷体" w:hAnsi="Times New Roman" w:cs="Times New Roman" w:hint="eastAsia"/>
          <w:b/>
          <w:color w:val="000000" w:themeColor="text1"/>
          <w:sz w:val="24"/>
        </w:rPr>
        <w:t>提升，但</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从根本上提高</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说法过于绝对，</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说法错误。通过围绕人大代表模范作用发挥、会议期间工作、闭会期间活动等方面进行履职评价，会让人大代表更加明确自己的职责要求，从而增强依法履职的意识和责任感，</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正确。评价内容包括</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人大代表模范作用发挥，闭会期间活动</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，如联系群众、听取意见等，目的是督促代表加强与人民群众的沟通，密切人大代表同人民群众的联系，</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．某村委会成立了由多名德高望重的女性组成的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阿妈议事会</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。阿妈们定期议事，参与村务的商议处理，反映村民意见建议。当有村民对村务工作不理解时，她们</w:t>
      </w:r>
      <w:r w:rsidRPr="002A0AF6">
        <w:rPr>
          <w:rFonts w:ascii="Times New Roman" w:eastAsia="宋体" w:hAnsi="Times New Roman" w:cs="Times New Roman" w:hint="eastAsia"/>
          <w:b/>
          <w:color w:val="000000" w:themeColor="text1"/>
          <w:sz w:val="24"/>
        </w:rPr>
        <w:t>就一户户上门谈心，解开群众心结。同时，阿妈们以</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拉家常</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方式开展普法活动，调解矛盾纠纷，传递法治正能量。此模式</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拓宽了村民与村委会间的沟通渠道</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推动了基层工作的规范化、程序化</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排除了农村地区矛盾纠纷风险隐患</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丰富了普法方式、提升了治理质效</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阿妈议事会</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的阿妈们定期议事，反映村民意见建议，并上门与村民谈心，这增加了村民表达意见的渠道，加强了与村委会的沟通，</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符合</w:t>
      </w:r>
      <w:r w:rsidRPr="002A0AF6">
        <w:rPr>
          <w:rFonts w:ascii="Times New Roman" w:eastAsia="楷体" w:hAnsi="Times New Roman" w:cs="Times New Roman" w:hint="eastAsia"/>
          <w:b/>
          <w:color w:val="000000" w:themeColor="text1"/>
          <w:sz w:val="24"/>
        </w:rPr>
        <w:t>题意。题干强调</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阿妈议事会</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在村民与村委会沟通、开展普法和调解纠纷等方面的作用，并未涉及推动基层工作的规范化、程序化的内容，</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不符合题意。</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阿妈议事会</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以</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拉家常</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方式开展普法活动，调解矛盾纠纷，虽然能在一定程度上化解矛盾，但</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排除矛盾纠纷风险隐患</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的说法过于绝对，</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不符合题意。阿妈们以</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拉家常</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方式开展普法活动，调解矛盾纠纷，传递法治正能量，体现了该模式丰富了普法方式、提升了治理质效，</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符合题意。</w:t>
      </w:r>
      <w:r w:rsidRPr="002A0AF6">
        <w:rPr>
          <w:rFonts w:ascii="Times New Roman" w:eastAsia="楷体" w:hAnsi="Times New Roman" w:cs="Times New Roman" w:hint="eastAsia"/>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．自国家卫生健康委联合教育部、体育总局等</w:t>
      </w: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部门启动</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体重管理年</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活动以来，医疗机构、健身行业</w:t>
      </w:r>
      <w:r w:rsidRPr="002A0AF6">
        <w:rPr>
          <w:rFonts w:ascii="Times New Roman" w:eastAsia="宋体" w:hAnsi="Times New Roman" w:cs="Times New Roman" w:hint="eastAsia"/>
          <w:b/>
          <w:color w:val="000000" w:themeColor="text1"/>
          <w:sz w:val="24"/>
        </w:rPr>
        <w:t>以及社会各界纷纷响应。人们通过医学干预、体育运动等方式掀起了体重管理的热潮。根据材料，体重管理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效果取决于人们对各种方式的选择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与体育运动之间的联系具有客观性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与医学干预之间是人为事物的联系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受医学干预和体育运动发展的主导</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体重管理的效果受多种因素影响，人们对各种方式的选择会影响体重管理，但效果</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取决于人们对各种方式选择</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的说法过于绝对，</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不符合题意。联系具有客</w:t>
      </w:r>
      <w:r w:rsidRPr="002A0AF6">
        <w:rPr>
          <w:rFonts w:ascii="Times New Roman" w:eastAsia="楷体" w:hAnsi="Times New Roman" w:cs="Times New Roman" w:hint="eastAsia"/>
          <w:b/>
          <w:color w:val="000000" w:themeColor="text1"/>
          <w:sz w:val="24"/>
        </w:rPr>
        <w:t>观性，体育运动通过消耗能量影响体重，这种联系是客观的，不是人们主观臆造的，</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说法正确。人为事物的联系是人类实践的产物，呈现着</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人化</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的特点，但仍然是客观的。体重管理与医学干预之间的联系是通过人们运用医学知识、技术等实践活动建立起来的，属于人为事物的联系，</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说法正确。体重管理受医学干预和体育运动的影响，但不受其主导，</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说法错误。</w:t>
      </w:r>
      <w:r w:rsidRPr="002A0AF6">
        <w:rPr>
          <w:rFonts w:ascii="Times New Roman" w:eastAsia="楷体" w:hAnsi="Times New Roman" w:cs="Times New Roman" w:hint="eastAsia"/>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．过去，人们主要采用有机高分子材料修复岩土文物。现在，科研团队通过微生物加固技术修复岩土文物，更契合岩土文物修复</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最小干预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不引入异物</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的特殊需求，打开了科技守护文化</w:t>
      </w:r>
      <w:r w:rsidRPr="002A0AF6">
        <w:rPr>
          <w:rFonts w:ascii="Times New Roman" w:eastAsia="宋体" w:hAnsi="Times New Roman" w:cs="Times New Roman" w:hint="eastAsia"/>
          <w:b/>
          <w:color w:val="000000" w:themeColor="text1"/>
          <w:sz w:val="24"/>
        </w:rPr>
        <w:t>根脉的新思路。微生物加固技术的运用</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为文物修复提供了方法论指导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是人们发挥主观能动性的结果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丰富了人们对物质世界的认识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是对有机高分子材料的辩证否定</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微生物加固技术是一种具体的修复技术手段，而不是方法论指导，</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方法论指导</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更强调理论层面，</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排除。科研团队通过微生物加固技术修复岩土文物，更契合岩土文物修复的特殊需求，打开了科技守护文化根脉的新思路，这是科研人员发挥</w:t>
      </w:r>
      <w:r w:rsidRPr="002A0AF6">
        <w:rPr>
          <w:rFonts w:ascii="Times New Roman" w:eastAsia="楷体" w:hAnsi="Times New Roman" w:cs="Times New Roman" w:hint="eastAsia"/>
          <w:b/>
          <w:color w:val="000000" w:themeColor="text1"/>
          <w:sz w:val="24"/>
        </w:rPr>
        <w:t>主观能动性，积极探索、实践的结果，</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符合题意。从过去采用有机高分子材料修复岩土文物到现在采用微生物加固技术修复岩土文物，这是科技的进步，也是人们对文物修复方法认识的拓展，丰富了人们对物质世界的认识，</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符合题意。微生物加固技术是修复技术手段，而有机高分子材料是修复岩土文物所用的东西，微生物加固技术和用有机高分子材料修复是两种不同的修复技术手段。微生物加固技术并非对有机高分子材料的辩证否定，</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排除。</w:t>
      </w:r>
      <w:r w:rsidRPr="002A0AF6">
        <w:rPr>
          <w:rFonts w:ascii="Times New Roman" w:eastAsia="楷体" w:hAnsi="Times New Roman" w:cs="Times New Roman" w:hint="eastAsia"/>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素人写作</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是一种普通劳动者以</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剧中人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剧作者</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的双重身份进行写作，并借助新媒介传播的文化</w:t>
      </w:r>
      <w:r w:rsidRPr="002A0AF6">
        <w:rPr>
          <w:rFonts w:ascii="Times New Roman" w:eastAsia="宋体" w:hAnsi="Times New Roman" w:cs="Times New Roman" w:hint="eastAsia"/>
          <w:b/>
          <w:color w:val="000000" w:themeColor="text1"/>
          <w:sz w:val="24"/>
        </w:rPr>
        <w:t>现象。近年涌现出的一些优秀作品得到大众的喜爱，这些作品记录了真切的生活感受，让人们为身边的奋斗鼓掌；用有温度的经历引发共鸣，使读者走出</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茧房</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，与他人和社会建立联系。这些优秀作品受欢迎是因为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源于时代发展，记录生活与回应社会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拥抱新兴技术，创新传播形式和内容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迎合大众需求，优化了公共文化服务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讴歌奋斗人生，打动人心与抚慰情感</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文化是对一定时代经济、政治的反映。这</w:t>
      </w:r>
      <w:r w:rsidRPr="002A0AF6">
        <w:rPr>
          <w:rFonts w:ascii="Times New Roman" w:eastAsia="楷体" w:hAnsi="Times New Roman" w:cs="Times New Roman" w:hint="eastAsia"/>
          <w:b/>
          <w:color w:val="000000" w:themeColor="text1"/>
          <w:sz w:val="24"/>
        </w:rPr>
        <w:t>些作品记录了真切的生活感受，让人们为身边的奋斗鼓掌，表明作品源于时代发展，真实的记录生活与回应社会现实，</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符合题意。材料没有涉及创新了传播内容，</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不符合题意。优秀文化作品应更好满足群众精神文化需求，而不是一味迎合，且材料没有涉及优化公共文化服务的内容，</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排除。这些作品记录了真切的生活感受，让人们为身边的奋斗鼓掌；用有温度的经历引发共鸣，使读者走出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茧房</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，与他人和社会建立联系，体现了这些作品讴歌奋斗人生，能够打动人心与抚慰情感，从而受到大众喜爱，</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符合题意。</w:t>
      </w:r>
      <w:r w:rsidRPr="002A0AF6">
        <w:rPr>
          <w:rFonts w:ascii="Times New Roman" w:eastAsia="楷体" w:hAnsi="Times New Roman" w:cs="Times New Roman" w:hint="eastAsia"/>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．中国向全球</w:t>
      </w:r>
      <w:r w:rsidRPr="002A0AF6">
        <w:rPr>
          <w:rFonts w:ascii="Times New Roman" w:eastAsia="宋体" w:hAnsi="Times New Roman" w:cs="Times New Roman"/>
          <w:b/>
          <w:color w:val="000000" w:themeColor="text1"/>
          <w:sz w:val="24"/>
        </w:rPr>
        <w:t>50</w:t>
      </w:r>
      <w:r w:rsidRPr="002A0AF6">
        <w:rPr>
          <w:rFonts w:ascii="Times New Roman" w:eastAsia="宋体" w:hAnsi="Times New Roman" w:cs="Times New Roman"/>
          <w:b/>
          <w:color w:val="000000" w:themeColor="text1"/>
          <w:sz w:val="24"/>
        </w:rPr>
        <w:t>多家科研机构分享</w:t>
      </w:r>
      <w:r w:rsidRPr="002A0AF6">
        <w:rPr>
          <w:rFonts w:ascii="Times New Roman" w:eastAsia="宋体" w:hAnsi="Times New Roman" w:cs="Times New Roman" w:hint="eastAsia"/>
          <w:b/>
          <w:color w:val="000000" w:themeColor="text1"/>
          <w:sz w:val="24"/>
        </w:rPr>
        <w:t>嫦娥六号获取的月壤样本，通过杂交水稻技术助力近</w:t>
      </w:r>
      <w:r w:rsidRPr="002A0AF6">
        <w:rPr>
          <w:rFonts w:ascii="Times New Roman" w:eastAsia="宋体" w:hAnsi="Times New Roman" w:cs="Times New Roman"/>
          <w:b/>
          <w:color w:val="000000" w:themeColor="text1"/>
          <w:sz w:val="24"/>
        </w:rPr>
        <w:t>70</w:t>
      </w:r>
      <w:r w:rsidRPr="002A0AF6">
        <w:rPr>
          <w:rFonts w:ascii="Times New Roman" w:eastAsia="宋体" w:hAnsi="Times New Roman" w:cs="Times New Roman"/>
          <w:b/>
          <w:color w:val="000000" w:themeColor="text1"/>
          <w:sz w:val="24"/>
        </w:rPr>
        <w:t>国粮食增产。同时，中国采取人工智能开源模式，打破西方国家对先进算力的垄断，与各国共享人工智能发展红利。这能够</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拓展发展中国家实现现代化的模式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彰显中国立己达人的和平发展道路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凸显中国以务实行动完善全球治理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建立平等、开放、合作的伙伴关系</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题干中中国主要在航天、农业、人工智能等领域与其他国家分享成果、助力发展，并没</w:t>
      </w:r>
      <w:r w:rsidRPr="002A0AF6">
        <w:rPr>
          <w:rFonts w:ascii="Times New Roman" w:eastAsia="楷体" w:hAnsi="Times New Roman" w:cs="Times New Roman" w:hint="eastAsia"/>
          <w:b/>
          <w:color w:val="000000" w:themeColor="text1"/>
          <w:sz w:val="24"/>
        </w:rPr>
        <w:t>有直接体现拓展发展中国家实现现代化的模式，</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不符合题意。中国向全球分享月壤样本、助力他国粮食增产、共享人工智能发展红利，这些行为体现了中国在自身发展的同时，也积极帮助其他国家发展，彰显了中国立己达人的和平发展道路，</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符合题意。中国通过科技共享、打破技术垄断等务实举措，促进公平发展，贡献全球公共产品，有助于完善全球治理体系，</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符合题意。平等、开放、合作的伙伴关系的建立是一个长期的、多方面互动的过程，通过材料中的行为建立平等、开放、合作的伙伴关系，夸大了其作用，</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不符合题意。</w:t>
      </w:r>
      <w:r w:rsidRPr="002A0AF6">
        <w:rPr>
          <w:rFonts w:ascii="Times New Roman" w:eastAsia="楷体" w:hAnsi="Times New Roman" w:cs="Times New Roman" w:hint="eastAsia"/>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．目前我国已陆续制</w:t>
      </w:r>
      <w:r w:rsidRPr="002A0AF6">
        <w:rPr>
          <w:rFonts w:ascii="Times New Roman" w:eastAsia="宋体" w:hAnsi="Times New Roman" w:cs="Times New Roman" w:hint="eastAsia"/>
          <w:b/>
          <w:color w:val="000000" w:themeColor="text1"/>
          <w:sz w:val="24"/>
        </w:rPr>
        <w:t>定</w:t>
      </w:r>
      <w:r w:rsidRPr="002A0AF6">
        <w:rPr>
          <w:rFonts w:ascii="Times New Roman" w:eastAsia="宋体" w:hAnsi="Times New Roman" w:cs="Times New Roman"/>
          <w:b/>
          <w:color w:val="000000" w:themeColor="text1"/>
          <w:sz w:val="24"/>
        </w:rPr>
        <w:t>110</w:t>
      </w:r>
      <w:r w:rsidRPr="002A0AF6">
        <w:rPr>
          <w:rFonts w:ascii="Times New Roman" w:eastAsia="宋体" w:hAnsi="Times New Roman" w:cs="Times New Roman"/>
          <w:b/>
          <w:color w:val="000000" w:themeColor="text1"/>
          <w:sz w:val="24"/>
        </w:rPr>
        <w:t>余项中医药</w:t>
      </w:r>
      <w:r w:rsidRPr="002A0AF6">
        <w:rPr>
          <w:rFonts w:ascii="Times New Roman" w:eastAsia="宋体" w:hAnsi="Times New Roman" w:cs="Times New Roman"/>
          <w:b/>
          <w:color w:val="000000" w:themeColor="text1"/>
          <w:sz w:val="24"/>
        </w:rPr>
        <w:t>ISO</w:t>
      </w:r>
      <w:r w:rsidRPr="002A0AF6">
        <w:rPr>
          <w:rFonts w:ascii="Times New Roman" w:eastAsia="宋体" w:hAnsi="Times New Roman" w:cs="Times New Roman"/>
          <w:b/>
          <w:color w:val="000000" w:themeColor="text1"/>
          <w:sz w:val="24"/>
        </w:rPr>
        <w:t>国际标准。</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年我国中药类商品对外贸易总额同比增长</w:t>
      </w:r>
      <w:r w:rsidRPr="002A0AF6">
        <w:rPr>
          <w:rFonts w:ascii="Times New Roman" w:eastAsia="宋体" w:hAnsi="Times New Roman" w:cs="Times New Roman"/>
          <w:b/>
          <w:color w:val="000000" w:themeColor="text1"/>
          <w:sz w:val="24"/>
        </w:rPr>
        <w:t>0.4%</w:t>
      </w:r>
      <w:r w:rsidRPr="002A0AF6">
        <w:rPr>
          <w:rFonts w:ascii="Times New Roman" w:eastAsia="宋体" w:hAnsi="Times New Roman" w:cs="Times New Roman"/>
          <w:b/>
          <w:color w:val="000000" w:themeColor="text1"/>
          <w:sz w:val="24"/>
        </w:rPr>
        <w:t>，其中进口额增长</w:t>
      </w:r>
      <w:r w:rsidRPr="002A0AF6">
        <w:rPr>
          <w:rFonts w:ascii="Times New Roman" w:eastAsia="宋体" w:hAnsi="Times New Roman" w:cs="Times New Roman"/>
          <w:b/>
          <w:color w:val="000000" w:themeColor="text1"/>
          <w:sz w:val="24"/>
        </w:rPr>
        <w:t>7.3%</w:t>
      </w:r>
      <w:r w:rsidRPr="002A0AF6">
        <w:rPr>
          <w:rFonts w:ascii="Times New Roman" w:eastAsia="宋体" w:hAnsi="Times New Roman" w:cs="Times New Roman"/>
          <w:b/>
          <w:color w:val="000000" w:themeColor="text1"/>
          <w:sz w:val="24"/>
        </w:rPr>
        <w:t>，出口额下降</w:t>
      </w:r>
      <w:r w:rsidRPr="002A0AF6">
        <w:rPr>
          <w:rFonts w:ascii="Times New Roman" w:eastAsia="宋体" w:hAnsi="Times New Roman" w:cs="Times New Roman"/>
          <w:b/>
          <w:color w:val="000000" w:themeColor="text1"/>
          <w:sz w:val="24"/>
        </w:rPr>
        <w:t>3.2%</w:t>
      </w:r>
      <w:r w:rsidRPr="002A0AF6">
        <w:rPr>
          <w:rFonts w:ascii="Times New Roman" w:eastAsia="宋体" w:hAnsi="Times New Roman" w:cs="Times New Roman"/>
          <w:b/>
          <w:color w:val="000000" w:themeColor="text1"/>
          <w:sz w:val="24"/>
        </w:rPr>
        <w:t>。具体来看，中药材及中药饮片、植物提取物出口额分别同比下降</w:t>
      </w:r>
      <w:r w:rsidRPr="002A0AF6">
        <w:rPr>
          <w:rFonts w:ascii="Times New Roman" w:eastAsia="宋体" w:hAnsi="Times New Roman" w:cs="Times New Roman"/>
          <w:b/>
          <w:color w:val="000000" w:themeColor="text1"/>
          <w:sz w:val="24"/>
        </w:rPr>
        <w:t>5.7%</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7.7%</w:t>
      </w:r>
      <w:r w:rsidRPr="002A0AF6">
        <w:rPr>
          <w:rFonts w:ascii="Times New Roman" w:eastAsia="宋体" w:hAnsi="Times New Roman" w:cs="Times New Roman"/>
          <w:b/>
          <w:color w:val="000000" w:themeColor="text1"/>
          <w:sz w:val="24"/>
        </w:rPr>
        <w:t>，中成药、保健品出口额分别同比增长</w:t>
      </w:r>
      <w:r w:rsidRPr="002A0AF6">
        <w:rPr>
          <w:rFonts w:ascii="Times New Roman" w:eastAsia="宋体" w:hAnsi="Times New Roman" w:cs="Times New Roman"/>
          <w:b/>
          <w:color w:val="000000" w:themeColor="text1"/>
          <w:sz w:val="24"/>
        </w:rPr>
        <w:t>10.6%</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20.9%</w:t>
      </w:r>
      <w:r w:rsidRPr="002A0AF6">
        <w:rPr>
          <w:rFonts w:ascii="Times New Roman" w:eastAsia="宋体" w:hAnsi="Times New Roman" w:cs="Times New Roman"/>
          <w:b/>
          <w:color w:val="000000" w:themeColor="text1"/>
          <w:sz w:val="24"/>
        </w:rPr>
        <w:t>。由此可推断，</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年我国中药类商品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进口贸易规模扩大，国际需求量减少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进出口贸易量价齐增，产品质量提升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出口的产品附加值增加，价值链地位提升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深加工产品出口规模扩大，出口结构优化</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b/>
          <w:color w:val="000000" w:themeColor="text1"/>
          <w:sz w:val="24"/>
        </w:rPr>
        <w:t>年我国中药类商品对外贸易总额同比增长</w:t>
      </w:r>
      <w:r w:rsidRPr="002A0AF6">
        <w:rPr>
          <w:rFonts w:ascii="Times New Roman" w:eastAsia="楷体" w:hAnsi="Times New Roman" w:cs="Times New Roman"/>
          <w:b/>
          <w:color w:val="000000" w:themeColor="text1"/>
          <w:sz w:val="24"/>
        </w:rPr>
        <w:t>0.4%</w:t>
      </w:r>
      <w:r w:rsidRPr="002A0AF6">
        <w:rPr>
          <w:rFonts w:ascii="Times New Roman" w:eastAsia="楷体" w:hAnsi="Times New Roman" w:cs="Times New Roman"/>
          <w:b/>
          <w:color w:val="000000" w:themeColor="text1"/>
          <w:sz w:val="24"/>
        </w:rPr>
        <w:t>，其中进口额增长</w:t>
      </w:r>
      <w:r w:rsidRPr="002A0AF6">
        <w:rPr>
          <w:rFonts w:ascii="Times New Roman" w:eastAsia="楷体" w:hAnsi="Times New Roman" w:cs="Times New Roman"/>
          <w:b/>
          <w:color w:val="000000" w:themeColor="text1"/>
          <w:sz w:val="24"/>
        </w:rPr>
        <w:t>7.3%</w:t>
      </w:r>
      <w:r w:rsidRPr="002A0AF6">
        <w:rPr>
          <w:rFonts w:ascii="Times New Roman" w:eastAsia="楷体" w:hAnsi="Times New Roman" w:cs="Times New Roman"/>
          <w:b/>
          <w:color w:val="000000" w:themeColor="text1"/>
          <w:sz w:val="24"/>
        </w:rPr>
        <w:t>，表明进口贸易规模扩大，但是出口额下降</w:t>
      </w:r>
      <w:r w:rsidRPr="002A0AF6">
        <w:rPr>
          <w:rFonts w:ascii="Times New Roman" w:eastAsia="楷体" w:hAnsi="Times New Roman" w:cs="Times New Roman"/>
          <w:b/>
          <w:color w:val="000000" w:themeColor="text1"/>
          <w:sz w:val="24"/>
        </w:rPr>
        <w:t>3.2%</w:t>
      </w:r>
      <w:r w:rsidRPr="002A0AF6">
        <w:rPr>
          <w:rFonts w:ascii="Times New Roman" w:eastAsia="楷体" w:hAnsi="Times New Roman" w:cs="Times New Roman"/>
          <w:b/>
          <w:color w:val="000000" w:themeColor="text1"/>
          <w:sz w:val="24"/>
        </w:rPr>
        <w:t>，不能直接得出国际需求量减少，出口额下降可能有多种原因，不一定是国际需求量减少导致的，</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不符合题意。进口额增长但出口额下降，进出口未同步增长，且数据仅涉及贸易额，未涉及贸易量及商品质量的相关信息，</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不符合题意。中成药、保健品等深加工、高附加值产品出口额显著增长</w:t>
      </w:r>
      <w:r w:rsidRPr="002A0AF6">
        <w:rPr>
          <w:rFonts w:ascii="Times New Roman" w:eastAsia="楷体" w:hAnsi="Times New Roman" w:cs="Times New Roman"/>
          <w:b/>
          <w:color w:val="000000" w:themeColor="text1"/>
          <w:sz w:val="24"/>
        </w:rPr>
        <w:t>(10.6%</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20.9%)</w:t>
      </w:r>
      <w:r w:rsidRPr="002A0AF6">
        <w:rPr>
          <w:rFonts w:ascii="Times New Roman" w:eastAsia="楷体" w:hAnsi="Times New Roman" w:cs="Times New Roman"/>
          <w:b/>
          <w:color w:val="000000" w:themeColor="text1"/>
          <w:sz w:val="24"/>
        </w:rPr>
        <w:t>，而低附加值产品</w:t>
      </w:r>
      <w:r w:rsidRPr="002A0AF6">
        <w:rPr>
          <w:rFonts w:ascii="Times New Roman" w:eastAsia="楷体" w:hAnsi="Times New Roman" w:cs="Times New Roman" w:hint="eastAsia"/>
          <w:b/>
          <w:color w:val="000000" w:themeColor="text1"/>
          <w:sz w:val="24"/>
        </w:rPr>
        <w:t>出口下降，表明出口产品整体附加值增加，价值链地位提升，</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符合题意。中成药、保健品出口额增长，直接体现深加工产品出口规模扩大；同时，出口结构从低附加值向高附加值转变，反映出口结构优化，</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符合题意。</w:t>
      </w:r>
      <w:r w:rsidRPr="002A0AF6">
        <w:rPr>
          <w:rFonts w:ascii="Times New Roman" w:eastAsia="楷体" w:hAnsi="Times New Roman" w:cs="Times New Roman" w:hint="eastAsia"/>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13</w:t>
      </w:r>
      <w:r w:rsidRPr="002A0AF6">
        <w:rPr>
          <w:rFonts w:ascii="Times New Roman" w:eastAsia="宋体" w:hAnsi="Times New Roman" w:cs="Times New Roman"/>
          <w:b/>
          <w:color w:val="000000" w:themeColor="text1"/>
          <w:sz w:val="24"/>
        </w:rPr>
        <w:t>．某商家在网络平台销售无人机，授权平台在收到消费者已退货信息后即可退款，落实</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七天无理由退货</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。在销售过程中，商家发现有顾客退回非本店售卖的无人机，且平台已将货款退还到顾客账户。商家</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可以依法通过仲裁解决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应该向其注册登记地法院起诉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必须通过平台要求顾客返还货款</w:t>
      </w:r>
      <w:r w:rsidR="00106F55">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不能要求平台</w:t>
      </w:r>
      <w:r w:rsidRPr="002A0AF6">
        <w:rPr>
          <w:rFonts w:ascii="Times New Roman" w:eastAsia="宋体" w:hAnsi="Times New Roman" w:cs="Times New Roman" w:hint="eastAsia"/>
          <w:b/>
          <w:color w:val="000000" w:themeColor="text1"/>
          <w:sz w:val="24"/>
        </w:rPr>
        <w:t>返还已划扣的货款</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消费者退回非本店商品并申请退款，属于违反诚信原则的行为。商家有权选择仲裁或诉讼方式追索货款，法律支持经营者要求消费者承担相应责任，</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正确。平台根据商家授权和规则操作退款，若平台已履行审核义务</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即使存在失误</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，商家一般需直接向消费者追偿，而非要求平台返还货款。平台的责任限于规则执行，而非承担消费者欺诈的后果，</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正确。网络消费纠纷的管辖法院通常为被告住所地或合同履行地，并</w:t>
      </w:r>
      <w:r w:rsidRPr="002A0AF6">
        <w:rPr>
          <w:rFonts w:ascii="Times New Roman" w:eastAsia="楷体" w:hAnsi="Times New Roman" w:cs="Times New Roman" w:hint="eastAsia"/>
          <w:b/>
          <w:color w:val="000000" w:themeColor="text1"/>
          <w:sz w:val="24"/>
        </w:rPr>
        <w:t>非必须为商家注册登记地，</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排除。商家无需依赖平台，可直接通过法律途径</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如诉讼</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要求消费者返还货款，平台介入非强制，</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14</w:t>
      </w:r>
      <w:r w:rsidRPr="002A0AF6">
        <w:rPr>
          <w:rFonts w:ascii="Times New Roman" w:eastAsia="宋体" w:hAnsi="Times New Roman" w:cs="Times New Roman"/>
          <w:b/>
          <w:color w:val="000000" w:themeColor="text1"/>
          <w:sz w:val="24"/>
        </w:rPr>
        <w:t>．甲得知好友患重病急需医疗费，打算相助。目前，甲的财产状况为：未到期婚前债权</w:t>
      </w: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万元；婚前房屋</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套，婚后与他人签订租赁协议，约定租金每年</w:t>
      </w: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万元；婚后存款</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万元。甲可依法采用的筹措医疗费的办法有</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与债务人协商提前偿还债务</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预支</w:t>
      </w: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万元房租，事后经配偶追认</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从夫妻共有存款中，拿出</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万元赠与好友</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经配偶同意后，以房屋的土地所有权作为抵押向银行贷款</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hint="eastAsia"/>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甲拥有未到期的婚前债权</w:t>
      </w:r>
      <w:r w:rsidRPr="002A0AF6">
        <w:rPr>
          <w:rFonts w:ascii="Times New Roman" w:eastAsia="楷体" w:hAnsi="Times New Roman" w:cs="Times New Roman"/>
          <w:b/>
          <w:color w:val="000000" w:themeColor="text1"/>
          <w:sz w:val="24"/>
        </w:rPr>
        <w:t>6</w:t>
      </w:r>
      <w:r w:rsidRPr="002A0AF6">
        <w:rPr>
          <w:rFonts w:ascii="Times New Roman" w:eastAsia="楷体" w:hAnsi="Times New Roman" w:cs="Times New Roman"/>
          <w:b/>
          <w:color w:val="000000" w:themeColor="text1"/>
          <w:sz w:val="24"/>
        </w:rPr>
        <w:t>万元，这属于其个人财产。根据法律规定，债权人有权与债务人协商变更债务履行期限，所以甲可协商让债务人提前还款来筹措资金，</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入选。房租为婚后夫妻共同财产，可以预支</w:t>
      </w:r>
      <w:r w:rsidRPr="002A0AF6">
        <w:rPr>
          <w:rFonts w:ascii="Times New Roman" w:eastAsia="楷体" w:hAnsi="Times New Roman" w:cs="Times New Roman"/>
          <w:b/>
          <w:color w:val="000000" w:themeColor="text1"/>
          <w:sz w:val="24"/>
        </w:rPr>
        <w:t>3</w:t>
      </w:r>
      <w:r w:rsidRPr="002A0AF6">
        <w:rPr>
          <w:rFonts w:ascii="Times New Roman" w:eastAsia="楷体" w:hAnsi="Times New Roman" w:cs="Times New Roman"/>
          <w:b/>
          <w:color w:val="000000" w:themeColor="text1"/>
          <w:sz w:val="24"/>
        </w:rPr>
        <w:t>万元房租，但是需要事后得到配偶追认，</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入选。婚后存款</w:t>
      </w:r>
      <w:r w:rsidRPr="002A0AF6">
        <w:rPr>
          <w:rFonts w:ascii="Times New Roman" w:eastAsia="楷体" w:hAnsi="Times New Roman" w:cs="Times New Roman"/>
          <w:b/>
          <w:color w:val="000000" w:themeColor="text1"/>
          <w:sz w:val="24"/>
        </w:rPr>
        <w:t>10</w:t>
      </w:r>
      <w:r w:rsidRPr="002A0AF6">
        <w:rPr>
          <w:rFonts w:ascii="Times New Roman" w:eastAsia="楷体" w:hAnsi="Times New Roman" w:cs="Times New Roman"/>
          <w:b/>
          <w:color w:val="000000" w:themeColor="text1"/>
          <w:sz w:val="24"/>
        </w:rPr>
        <w:t>万元属于夫妻共同财产，夫妻对共同财产有平等处理权。甲单独拿出</w:t>
      </w:r>
      <w:r w:rsidRPr="002A0AF6">
        <w:rPr>
          <w:rFonts w:ascii="Times New Roman" w:eastAsia="楷体" w:hAnsi="Times New Roman" w:cs="Times New Roman"/>
          <w:b/>
          <w:color w:val="000000" w:themeColor="text1"/>
          <w:sz w:val="24"/>
        </w:rPr>
        <w:t>5</w:t>
      </w:r>
      <w:r w:rsidRPr="002A0AF6">
        <w:rPr>
          <w:rFonts w:ascii="Times New Roman" w:eastAsia="楷体" w:hAnsi="Times New Roman" w:cs="Times New Roman"/>
          <w:b/>
          <w:color w:val="000000" w:themeColor="text1"/>
          <w:sz w:val="24"/>
        </w:rPr>
        <w:t>万元赠与他人，若未经配偶同意，就擅自处分了夫妻共同财产，这种行为不合法，</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不选。我国法律规定</w:t>
      </w:r>
      <w:r w:rsidRPr="002A0AF6">
        <w:rPr>
          <w:rFonts w:ascii="Times New Roman" w:eastAsia="楷体" w:hAnsi="Times New Roman" w:cs="Times New Roman" w:hint="eastAsia"/>
          <w:b/>
          <w:color w:val="000000" w:themeColor="text1"/>
          <w:sz w:val="24"/>
        </w:rPr>
        <w:t>，土地所有权归国家或集体所有，个人无法取得土地所有权。</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以土地所有权抵押</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的说法错误，</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．中国古代天文学家在观测星象时发现，星辰位置与季节、物候存在关联。《鸥冠子</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环流》明确记载：</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斗柄东指，天下皆春；斗柄南指，天下皆夏。</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但古人深知，自然变化并非简单对应，这种认知后被升华为奉常处变的哲学思想。对于材料中体现的科学思维，判断正确的是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求异法，对比不同年份的物候差异来确定斗柄位置</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演绎推理法，从普遍规律出发推导出具体的物候现象</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辩证思维，认识星辰位置与物候的普遍联</w:t>
      </w:r>
      <w:r w:rsidRPr="002A0AF6">
        <w:rPr>
          <w:rFonts w:ascii="Times New Roman" w:eastAsia="宋体" w:hAnsi="Times New Roman" w:cs="Times New Roman" w:hint="eastAsia"/>
          <w:b/>
          <w:color w:val="000000" w:themeColor="text1"/>
          <w:sz w:val="24"/>
        </w:rPr>
        <w:t>系及特殊变化</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共变法，观测斗柄位置与季节变化的同步关系总结规律</w:t>
      </w:r>
    </w:p>
    <w:p w:rsid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106F55">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C24343">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00106F55">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古人不仅认识到星辰位置与物候的普遍联系</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如斗柄指向与季节的固定对应</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，还观察到特殊变化</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如斗柄指向随地球自转在一天内偏移，或不同地域的物候差异</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，体现了辩证思维，认识星辰位置与物候的普遍联系及特殊变化，</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正确。古人通过长期观测斗柄位置与季节变化的同步关系</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如斗柄东指则春分、南指则夏至</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，总结出规律性的结论，这种</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同步变化</w:t>
      </w:r>
      <w:r w:rsidRPr="002A0AF6">
        <w:rPr>
          <w:rFonts w:ascii="Times New Roman" w:eastAsia="楷体" w:hAnsi="Times New Roman" w:cs="Times New Roman" w:hint="eastAsia"/>
          <w:b/>
          <w:color w:val="000000" w:themeColor="text1"/>
          <w:sz w:val="24"/>
        </w:rPr>
        <w:t>推导因果</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的方法符合共变法的特征，</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正确。材料未涉及对比不同年份物候差异以确定斗柄位置；相反，观测侧重于固定时间点</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如黄昏</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的斗柄指向与季节的同步关系，而非差异对照，</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 xml:space="preserve"> </w:t>
      </w:r>
      <w:r w:rsidRPr="002A0AF6">
        <w:rPr>
          <w:rFonts w:ascii="Times New Roman" w:eastAsia="楷体" w:hAnsi="Times New Roman" w:cs="Times New Roman"/>
          <w:b/>
          <w:color w:val="000000" w:themeColor="text1"/>
          <w:sz w:val="24"/>
        </w:rPr>
        <w:t>古人从具体观测现象</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如斗柄指向</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归纳出一般规律，属于归纳推理；而非从普遍原理推导具体现象的演绎推理，</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．近日，</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国球奥运冠军进校园</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活动在云南举办。根据活动要求，张华和李红至少有一人参加这个活动。如果张华不参加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国球奥运冠军进校园</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活动，那么李红不参加这个活动。由此可必然推出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李红一定参加这</w:t>
      </w:r>
      <w:r w:rsidRPr="002A0AF6">
        <w:rPr>
          <w:rFonts w:ascii="Times New Roman" w:eastAsia="宋体" w:hAnsi="Times New Roman" w:cs="Times New Roman" w:hint="eastAsia"/>
          <w:b/>
          <w:color w:val="000000" w:themeColor="text1"/>
          <w:sz w:val="24"/>
        </w:rPr>
        <w:t>个活动</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张华一定参加这个活动</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002A0AF6"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李红一定不参加这个活动</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002A0AF6"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张华一定不参加这个活动</w:t>
      </w:r>
    </w:p>
    <w:p w:rsidR="0075731D" w:rsidRPr="002A0AF6" w:rsidRDefault="0075731D" w:rsidP="00C24343">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如果张华不参加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国球奥运冠军进校园</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活动，那么李红不参加这个活动。这是充分条件假言判断，充分条件假言推理的正确的推理结构是肯前肯后式或否后否前式。根据肯定前件式，张华不参加，那么李红也不参加，但是不符合张华和李红至少有一人参加这个活动的条件。根据否定后件式，李红参加，可以必然推出张华参加，</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符合题意。</w:t>
      </w:r>
      <w:r w:rsidRPr="002A0AF6">
        <w:rPr>
          <w:rFonts w:ascii="Times New Roman" w:eastAsia="楷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二、非选择题：</w:t>
      </w:r>
      <w:r w:rsidRPr="002A0AF6">
        <w:rPr>
          <w:rFonts w:ascii="Times New Roman" w:eastAsia="宋体" w:hAnsi="Times New Roman" w:cs="Times New Roman"/>
          <w:b/>
          <w:color w:val="000000" w:themeColor="text1"/>
          <w:sz w:val="24"/>
        </w:rPr>
        <w:t>本题共</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小</w:t>
      </w:r>
      <w:r w:rsidRPr="002A0AF6">
        <w:rPr>
          <w:rFonts w:ascii="Times New Roman" w:eastAsia="宋体" w:hAnsi="Times New Roman" w:cs="Times New Roman" w:hint="eastAsia"/>
          <w:b/>
          <w:color w:val="000000" w:themeColor="text1"/>
          <w:sz w:val="24"/>
        </w:rPr>
        <w:t>题，共</w:t>
      </w:r>
      <w:r w:rsidRPr="002A0AF6">
        <w:rPr>
          <w:rFonts w:ascii="Times New Roman" w:eastAsia="宋体" w:hAnsi="Times New Roman" w:cs="Times New Roman"/>
          <w:b/>
          <w:color w:val="000000" w:themeColor="text1"/>
          <w:sz w:val="24"/>
        </w:rPr>
        <w:t>52</w:t>
      </w:r>
      <w:r w:rsidRPr="002A0AF6">
        <w:rPr>
          <w:rFonts w:ascii="Times New Roman" w:eastAsia="宋体" w:hAnsi="Times New Roman" w:cs="Times New Roman"/>
          <w:b/>
          <w:color w:val="000000" w:themeColor="text1"/>
          <w:sz w:val="24"/>
        </w:rPr>
        <w:t>分。</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17</w:t>
      </w:r>
      <w:r w:rsidRPr="002A0AF6">
        <w:rPr>
          <w:rFonts w:ascii="Times New Roman" w:eastAsia="宋体" w:hAnsi="Times New Roman" w:cs="Times New Roman"/>
          <w:b/>
          <w:color w:val="000000" w:themeColor="text1"/>
          <w:sz w:val="24"/>
        </w:rPr>
        <w:t>．阅读材料，完成下列要求。</w:t>
      </w:r>
    </w:p>
    <w:p w:rsidR="0075731D" w:rsidRPr="002A0AF6" w:rsidRDefault="0075731D" w:rsidP="00C24343">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 xml:space="preserve">材料一　</w:t>
      </w:r>
      <w:r w:rsidRPr="002A0AF6">
        <w:rPr>
          <w:rFonts w:ascii="Times New Roman" w:eastAsia="楷体" w:hAnsi="Times New Roman" w:cs="Times New Roman"/>
          <w:b/>
          <w:color w:val="000000" w:themeColor="text1"/>
          <w:sz w:val="24"/>
        </w:rPr>
        <w:t>多式联运是一种为实现</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物畅其流</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将铁路、公路、水运、航空等多种运输方式有机组合的联运新模式。为贯彻落实中央《关于加快建设统一开放的交通运输市场的意见》，健全多式联运运行体系，多地政府聚力推动货物品名、箱型、包装等标准规则互认，推进</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一单制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一箱制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，实现托运人一次委托、费用一次结算、货物一次保险及</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一箱到底</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的全程管控；打造铁路货运电子商务平台、多式联运数智平台，提升车货匹配效率，整合各类分散的货运市场资源。</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 xml:space="preserve">材料二　</w:t>
      </w:r>
      <w:r w:rsidRPr="002A0AF6">
        <w:rPr>
          <w:rFonts w:ascii="Times New Roman" w:eastAsia="楷体" w:hAnsi="Times New Roman" w:cs="Times New Roman"/>
          <w:b/>
          <w:color w:val="000000" w:themeColor="text1"/>
          <w:sz w:val="24"/>
        </w:rPr>
        <w:t>某物流公司与客户签订铁水联运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一单制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运输合同，将矿石运至目的地。物流公司委托</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公司负责铁运，</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公司负责水运。</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公司将货物运至港口交付水运时，</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公司未及时安排接货。</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公司当即采取措施：一方面，多次联系</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公司接货；另一方面，为保障货物安全，租用港口场地存储货物并垫付费用。</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公司接货后，将货物运到目的地时逾期，造成损失。</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结合材料一，运用《经济与社会》的相关知识，分析发展多式联运是如何助力统一开放的交通运输市场建设的。</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结合材料二，运用《法律与生</w:t>
      </w:r>
      <w:r w:rsidRPr="002A0AF6">
        <w:rPr>
          <w:rFonts w:ascii="Times New Roman" w:eastAsia="宋体" w:hAnsi="Times New Roman" w:cs="Times New Roman" w:hint="eastAsia"/>
          <w:b/>
          <w:color w:val="000000" w:themeColor="text1"/>
          <w:sz w:val="24"/>
        </w:rPr>
        <w:t>活》中合同的相关知识，指出其中的违约方和守约方，并评析他们的行为。</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在统一开放的市场中，统一的标准和规则是基础。这些标准规则互认，打破了不同运输方式之间因标准差异形成的障碍，促进了货物在整个交通运输市场的自由流动，促进市场规则统一，推动统一开放交通运输市场的建设。</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政府积极履行经济职能，简化流程，减少重复环节，降低企业和社会的物流成本，从而激发市场活力，促进交通运输市场的统一开放，使市场更加具有吸引力和竞争力。</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完善市场基础设施，打造数智平台和电子商务平台，</w:t>
      </w:r>
      <w:r w:rsidRPr="002A0AF6">
        <w:rPr>
          <w:rFonts w:ascii="Times New Roman" w:eastAsia="宋体" w:hAnsi="Times New Roman" w:cs="Times New Roman" w:hint="eastAsia"/>
          <w:b/>
          <w:color w:val="000000" w:themeColor="text1"/>
          <w:sz w:val="24"/>
        </w:rPr>
        <w:t>构建互联互通的信息系统，为统一市场提供技术支撑，提高车货匹配效率，整合各类分散的货运市场资源，实现资源的合理配置，有助于形成一个更加有序、高效的交通运输市场格局，推动不同运输方式之间的协同发展。</w:t>
      </w:r>
      <w:r w:rsidRPr="002A0AF6">
        <w:rPr>
          <w:rFonts w:ascii="Times New Roman" w:eastAsia="宋体" w:hAnsi="Times New Roman" w:cs="Times New Roman"/>
          <w:b/>
          <w:color w:val="000000" w:themeColor="text1"/>
          <w:sz w:val="24"/>
        </w:rPr>
        <w:t xml:space="preserve">    </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违约方：</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公司。守约方：</w:t>
      </w: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公司。</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评析：</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公司未按约定及时接货导致货物滞留，且接货后运输逾期造成损失。</w:t>
      </w:r>
      <w:r w:rsidRPr="002A0AF6">
        <w:rPr>
          <w:rFonts w:ascii="Times New Roman" w:eastAsia="宋体" w:hAnsi="Times New Roman" w:cs="Times New Roman"/>
          <w:b/>
          <w:color w:val="000000" w:themeColor="text1"/>
          <w:sz w:val="24"/>
        </w:rPr>
        <w:t xml:space="preserve"> B</w:t>
      </w:r>
      <w:r w:rsidRPr="002A0AF6">
        <w:rPr>
          <w:rFonts w:ascii="Times New Roman" w:eastAsia="宋体" w:hAnsi="Times New Roman" w:cs="Times New Roman"/>
          <w:b/>
          <w:color w:val="000000" w:themeColor="text1"/>
          <w:sz w:val="24"/>
        </w:rPr>
        <w:t>公司未履行合同约定的及时接收和按时运输义务，构成根本违约，</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公司的行为损害了客户的利益，影响了整个铁水联运合同的顺利履行，应当承担违约责任。</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公司按照物流公司委托，将货物运至港口，在</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公司未及</w:t>
      </w:r>
      <w:r w:rsidRPr="002A0AF6">
        <w:rPr>
          <w:rFonts w:ascii="Times New Roman" w:eastAsia="宋体" w:hAnsi="Times New Roman" w:cs="Times New Roman" w:hint="eastAsia"/>
          <w:b/>
          <w:color w:val="000000" w:themeColor="text1"/>
          <w:sz w:val="24"/>
        </w:rPr>
        <w:t>时接货的情况下，</w:t>
      </w: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公司多次联系</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公司接货，积极履行通知义务；同时为保障货物安全，租用港口场地存储货物并垫付费用。</w:t>
      </w: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公司的行为遵循了诚实信用原则，以及防止损失扩大的责任，尽到了守约方应尽的责任。</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18</w:t>
      </w:r>
      <w:r w:rsidRPr="002A0AF6">
        <w:rPr>
          <w:rFonts w:ascii="Times New Roman" w:eastAsia="宋体" w:hAnsi="Times New Roman" w:cs="Times New Roman"/>
          <w:b/>
          <w:color w:val="000000" w:themeColor="text1"/>
          <w:sz w:val="24"/>
        </w:rPr>
        <w:t>．阅读材料，完成下列要求。</w:t>
      </w:r>
    </w:p>
    <w:p w:rsidR="0075731D" w:rsidRPr="002A0AF6" w:rsidRDefault="0075731D" w:rsidP="00C24343">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习近平指出：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创新是引领发展的第一动力。抓创新就是抓发展，谋创新就是谋未来。</w:t>
      </w:r>
      <w:r w:rsidRPr="00A73771">
        <w:rPr>
          <w:rFonts w:ascii="宋体" w:eastAsia="宋体" w:hAnsi="宋体" w:cs="Times New Roman"/>
          <w:b/>
          <w:color w:val="000000" w:themeColor="text1"/>
          <w:sz w:val="24"/>
        </w:rPr>
        <w:t>”</w:t>
      </w:r>
    </w:p>
    <w:p w:rsidR="0075731D" w:rsidRPr="002A0AF6" w:rsidRDefault="0075731D" w:rsidP="00C24343">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从跟跑到领跑</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需要一代代人的接力，接力棒已经传给新一代。新一代有着不甘心的韧劲、不停步的闯劲。经过无数次失败，他们研制的机器人如今已能灵巧地转动手绢、在梅花桩上如履平地。具身智能、量子</w:t>
      </w:r>
      <w:r w:rsidRPr="002A0AF6">
        <w:rPr>
          <w:rFonts w:ascii="Times New Roman" w:eastAsia="楷体" w:hAnsi="Times New Roman" w:cs="Times New Roman" w:hint="eastAsia"/>
          <w:b/>
          <w:color w:val="000000" w:themeColor="text1"/>
          <w:sz w:val="24"/>
        </w:rPr>
        <w:t>技术、航空航天</w:t>
      </w:r>
      <w:r w:rsidRPr="002A0AF6">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新一代在关键技术领域中坚持再坚持，实现一个又一个新突破。曾经在创新路上屡遭挫折又不断求索的新一代，正推动创新中的中国行稳致远。</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追求真理是一个过程</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的相关知识，说明新一代为何能够推动创新中的中国行稳致远。</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认识具有反复性、无限性、上升性，要求我们与时俱进，开拓创新，在实践中认识和发现真理，在实践中检验和发展真理，新一代在创新实践中不断深化对创新的认识，从而推动创新中的中国行稳致远。</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认识具有反复性，认识受多种条件的限制，正确的</w:t>
      </w:r>
      <w:r w:rsidRPr="002A0AF6">
        <w:rPr>
          <w:rFonts w:ascii="Times New Roman" w:eastAsia="宋体" w:hAnsi="Times New Roman" w:cs="Times New Roman" w:hint="eastAsia"/>
          <w:b/>
          <w:color w:val="000000" w:themeColor="text1"/>
          <w:sz w:val="24"/>
        </w:rPr>
        <w:t>认识往往要经历从实践到认识、再从认识到实践的多次反复才能完成。在关键技术领域反复实践，经历无数次失败，逐步修正错误认识，最终实现突破。</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认识具有无限性，从</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跟跑</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到</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领跑</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的接力过程，新一代在量子技术、航空航天等领域不断深化认识，推动科技向更高水平发展。</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认识具有上升性，新一代以</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不甘心的韧劲</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克服挫折，在实践基础上深化对创新规律的认识，使中国创新从量变走向质变。</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C24343">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推动能源转型是全人类的共同责任，但保护主义和双重标准却阻碍了全球能源转型进程。一些国家对进口</w:t>
      </w:r>
      <w:r w:rsidRPr="002A0AF6">
        <w:rPr>
          <w:rFonts w:ascii="Times New Roman" w:eastAsia="楷体" w:hAnsi="Times New Roman" w:cs="Times New Roman" w:hint="eastAsia"/>
          <w:b/>
          <w:color w:val="000000" w:themeColor="text1"/>
          <w:sz w:val="24"/>
        </w:rPr>
        <w:t>新能源产品征收高关税并采取大规模的歧视性产业补贴，既破坏全球新能源产业链，又导致本国转型成本上升、消费者权益受损，造成了损人不利己的局面；限制与</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全球南方</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合作，防止绿色技术向</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全球南方</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转移，迟滞了</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全球南方</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能源转型。</w:t>
      </w:r>
    </w:p>
    <w:p w:rsidR="0075731D" w:rsidRPr="002A0AF6" w:rsidRDefault="0075731D" w:rsidP="00C24343">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中国秉持真正的多边主义，为全球能源转型难题提供解决方案。真正的多边主义倡导各国共同参与治理、相互协调与合作，与单边主义、保护主义和排他性治理规则形成鲜明对比。</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结合材料，运用《当代国际政治与经济》的相关知识，阐述国际社会在全球能源转型中应如何实现真正的多边主义。</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坚持多边贸易体制，坚持平等协商，反对单边主义和贸易保护主义，遵守世贸组织规则，取消对进口新能源产品的高关税等不合理贸易限制，维护全球新能源产业链的稳定与畅通，通过公平、开放、透明的多边贸易体系，促进新能源产品和技术的自由流动与合理配置，降低全球转型成本。</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加强国际合作，促进技术共享，构建人类命运共同体。摒弃歧视性产业补贴等做法，各国应在能源转型中相互协调政策，共同制定合理的产业发展规则，特别是发达国家应积极参与</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全球南方</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合作，推动绿色技术转让，帮助其加快能源转型进程，通过合作共赢</w:t>
      </w:r>
      <w:r w:rsidRPr="002A0AF6">
        <w:rPr>
          <w:rFonts w:ascii="Times New Roman" w:eastAsia="宋体" w:hAnsi="Times New Roman" w:cs="Times New Roman" w:hint="eastAsia"/>
          <w:b/>
          <w:color w:val="000000" w:themeColor="text1"/>
          <w:sz w:val="24"/>
        </w:rPr>
        <w:t>的方式，共同应对全球能源转型挑战，实现真正的多边主义。</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完善全球治理机制，构建包容性国际规则，反对排他性治理，确保各国尤其是发展中国家在能源转型中的参与权和话语权。</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20</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C24343">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乡村工匠是扎根乡村的传统手工艺人，也是带动村民增收致富、推动乡村发展建设的重要技能人才。为培养乡村工匠，某地广泛调研、拓展思路，在此基础上，构建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多方主体、需求导向、形式多样、技能本位</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四位一体</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培养模式，提高了乡村工匠的综合素质与能力。但问题至此还没有解决，打造乡村工匠队伍，是一项长期的</w:t>
      </w:r>
      <w:r w:rsidRPr="002A0AF6">
        <w:rPr>
          <w:rFonts w:ascii="Times New Roman" w:eastAsia="楷体" w:hAnsi="Times New Roman" w:cs="Times New Roman" w:hint="eastAsia"/>
          <w:b/>
          <w:color w:val="000000" w:themeColor="text1"/>
          <w:sz w:val="24"/>
        </w:rPr>
        <w:t>系统性工程，培养好还得留得住。为留住乡村工匠，该地在充分了解乡村工匠安居、医疗、子女教育等方面的需求后，建立乡村工匠激励保障机制，解决了他们的后顾之忧。</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发散思维与聚合思维的关系</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的相关知识，说明该地打造乡村工匠队伍的思路。</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运用发散思维，根据已知的事物信息，从不同的角度、不同的方向思考，以寻求解决问题的多样性答案的思维方式。通过广泛调研、拓展思路，多角度探索乡村工匠培养的可能性，全面挖掘乡村工匠的关切点，为后续构建培养模式提供了大量的设想和思</w:t>
      </w:r>
      <w:r w:rsidRPr="002A0AF6">
        <w:rPr>
          <w:rFonts w:ascii="Times New Roman" w:eastAsia="宋体" w:hAnsi="Times New Roman" w:cs="Times New Roman" w:hint="eastAsia"/>
          <w:b/>
          <w:color w:val="000000" w:themeColor="text1"/>
          <w:sz w:val="24"/>
        </w:rPr>
        <w:t>路。</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运用聚合思维，利用已有的知识和经验，把众多信息逐步引导到条理化的逻辑思路中，以便得出合乎逻辑的解决问题方案。在广泛调研、拓展思路的基础上，通过聚合思维，对众多的设想进行分析、综合，将调研信息整合为</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四位一体</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培养模式，并针对各类需求建立</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激励保障机制</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，集中解决核心问题。</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发散思维与聚合思维是创新思维的两翼，两翼相互作用，形成合力。该地打造乡村工匠队伍的过程中，先通过发散思维广泛收集信息、拓展思维，再通过聚合思维整合资源、形成方案，如此反复地</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发散—聚合—发散—聚合</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，解决了乡村工匠的培养和留住等问题，推动乡村工匠队伍的打造。</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21</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C24343">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红嘴鸥每年冬天飞到我国的一些湖泊、湿地过冬。有媒体聚焦生态文明建设，对红嘴鸥迁徙路线中一些地方政府采取的积极举措进行了报道。以下择取的是四地政府的部分举措：</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9"/>
        <w:gridCol w:w="1054"/>
        <w:gridCol w:w="3559"/>
      </w:tblGrid>
      <w:tr w:rsidR="00106F55" w:rsidRPr="002A0AF6" w:rsidTr="00106F55">
        <w:trPr>
          <w:jc w:val="center"/>
        </w:trPr>
        <w:tc>
          <w:tcPr>
            <w:tcW w:w="0" w:type="auto"/>
            <w:shd w:val="clear" w:color="auto" w:fill="auto"/>
            <w:vAlign w:val="center"/>
          </w:tcPr>
          <w:p w:rsidR="00106F55" w:rsidRPr="00106F55" w:rsidRDefault="00106F55" w:rsidP="00C24343">
            <w:pPr>
              <w:pStyle w:val="a3"/>
              <w:tabs>
                <w:tab w:val="left" w:pos="4200"/>
              </w:tabs>
              <w:snapToGrid w:val="0"/>
              <w:spacing w:line="360" w:lineRule="auto"/>
              <w:rPr>
                <w:rFonts w:ascii="Times New Roman" w:eastAsia="楷体" w:hAnsi="Times New Roman" w:cs="Times New Roman"/>
                <w:b/>
                <w:color w:val="000000" w:themeColor="text1"/>
                <w:sz w:val="24"/>
              </w:rPr>
            </w:pPr>
            <w:r w:rsidRPr="00106F55">
              <w:rPr>
                <w:rFonts w:ascii="Times New Roman" w:eastAsia="楷体" w:hAnsi="Times New Roman" w:cs="Times New Roman"/>
                <w:b/>
                <w:color w:val="000000" w:themeColor="text1"/>
                <w:sz w:val="24"/>
              </w:rPr>
              <w:t>宁夏：利用卫星跟踪、遥感监测等技术开展湿地生态监测，实时掌握红嘴鸥迁徙轨迹和栖息状况；</w:t>
            </w:r>
            <w:r w:rsidRPr="00106F55">
              <w:rPr>
                <w:rFonts w:ascii="Times New Roman" w:eastAsia="楷体" w:hAnsi="Times New Roman" w:cs="Times New Roman"/>
                <w:b/>
                <w:color w:val="000000" w:themeColor="text1"/>
                <w:sz w:val="24"/>
              </w:rPr>
              <w:t>2024</w:t>
            </w:r>
            <w:r w:rsidRPr="00106F55">
              <w:rPr>
                <w:rFonts w:ascii="Times New Roman" w:eastAsia="楷体" w:hAnsi="Times New Roman" w:cs="Times New Roman"/>
                <w:b/>
                <w:color w:val="000000" w:themeColor="text1"/>
                <w:sz w:val="24"/>
              </w:rPr>
              <w:t>年争取上亿元湿地保护修复资金，修复湿</w:t>
            </w:r>
            <w:r w:rsidRPr="00106F55">
              <w:rPr>
                <w:rFonts w:ascii="Times New Roman" w:eastAsia="楷体" w:hAnsi="Times New Roman" w:cs="Times New Roman" w:hint="eastAsia"/>
                <w:b/>
                <w:color w:val="000000" w:themeColor="text1"/>
                <w:sz w:val="24"/>
              </w:rPr>
              <w:t>地</w:t>
            </w:r>
            <w:r w:rsidRPr="00106F55">
              <w:rPr>
                <w:rFonts w:ascii="Times New Roman" w:eastAsia="楷体" w:hAnsi="Times New Roman" w:cs="Times New Roman"/>
                <w:b/>
                <w:color w:val="000000" w:themeColor="text1"/>
                <w:sz w:val="24"/>
              </w:rPr>
              <w:t>5.5</w:t>
            </w:r>
            <w:r w:rsidRPr="00106F55">
              <w:rPr>
                <w:rFonts w:ascii="Times New Roman" w:eastAsia="楷体" w:hAnsi="Times New Roman" w:cs="Times New Roman"/>
                <w:b/>
                <w:color w:val="000000" w:themeColor="text1"/>
                <w:sz w:val="24"/>
              </w:rPr>
              <w:t>万亩。</w:t>
            </w:r>
          </w:p>
        </w:tc>
        <w:tc>
          <w:tcPr>
            <w:tcW w:w="0" w:type="auto"/>
            <w:vMerge w:val="restart"/>
            <w:shd w:val="clear" w:color="auto" w:fill="auto"/>
            <w:vAlign w:val="center"/>
          </w:tcPr>
          <w:p w:rsidR="00106F55" w:rsidRPr="002A0AF6" w:rsidRDefault="00106F55"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"YNZZGKT1.tif" </w:instrText>
            </w:r>
            <w:r w:rsidRPr="002A0AF6">
              <w:rPr>
                <w:rFonts w:ascii="Times New Roman" w:eastAsia="宋体" w:hAnsi="Times New Roman" w:cs="Times New Roman"/>
                <w:b/>
                <w:color w:val="000000" w:themeColor="text1"/>
                <w:sz w:val="24"/>
              </w:rPr>
              <w:fldChar w:fldCharType="separate"/>
            </w: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w:instrText>
            </w:r>
            <w:r w:rsidRPr="002A0AF6">
              <w:rPr>
                <w:rFonts w:ascii="Times New Roman" w:eastAsia="宋体" w:hAnsi="Times New Roman" w:cs="Times New Roman" w:hint="eastAsia"/>
                <w:b/>
                <w:color w:val="000000" w:themeColor="text1"/>
                <w:sz w:val="24"/>
              </w:rPr>
              <w:instrText>INCLUDEPICTURE  "D:\\1.</w:instrText>
            </w:r>
            <w:r w:rsidRPr="002A0AF6">
              <w:rPr>
                <w:rFonts w:ascii="Times New Roman" w:eastAsia="宋体" w:hAnsi="Times New Roman" w:cs="Times New Roman" w:hint="eastAsia"/>
                <w:b/>
                <w:color w:val="000000" w:themeColor="text1"/>
                <w:sz w:val="24"/>
              </w:rPr>
              <w:instrText>王清爽</w:instrText>
            </w:r>
            <w:r w:rsidRPr="002A0AF6">
              <w:rPr>
                <w:rFonts w:ascii="Times New Roman" w:eastAsia="宋体" w:hAnsi="Times New Roman" w:cs="Times New Roman" w:hint="eastAsia"/>
                <w:b/>
                <w:color w:val="000000" w:themeColor="text1"/>
                <w:sz w:val="24"/>
              </w:rPr>
              <w:instrText>\\1.</w:instrText>
            </w:r>
            <w:r w:rsidRPr="002A0AF6">
              <w:rPr>
                <w:rFonts w:ascii="Times New Roman" w:eastAsia="宋体" w:hAnsi="Times New Roman" w:cs="Times New Roman" w:hint="eastAsia"/>
                <w:b/>
                <w:color w:val="000000" w:themeColor="text1"/>
                <w:sz w:val="24"/>
              </w:rPr>
              <w:instrText>课件</w:instrText>
            </w:r>
            <w:r w:rsidRPr="002A0AF6">
              <w:rPr>
                <w:rFonts w:ascii="Times New Roman" w:eastAsia="宋体" w:hAnsi="Times New Roman" w:cs="Times New Roman" w:hint="eastAsia"/>
                <w:b/>
                <w:color w:val="000000" w:themeColor="text1"/>
                <w:sz w:val="24"/>
              </w:rPr>
              <w:instrText>\\</w:instrText>
            </w:r>
            <w:r w:rsidRPr="002A0AF6">
              <w:rPr>
                <w:rFonts w:ascii="Times New Roman" w:eastAsia="宋体" w:hAnsi="Times New Roman" w:cs="Times New Roman" w:hint="eastAsia"/>
                <w:b/>
                <w:color w:val="000000" w:themeColor="text1"/>
                <w:sz w:val="24"/>
              </w:rPr>
              <w:instrText>高考题</w:instrText>
            </w:r>
            <w:r w:rsidRPr="002A0AF6">
              <w:rPr>
                <w:rFonts w:ascii="Times New Roman" w:eastAsia="宋体" w:hAnsi="Times New Roman" w:cs="Times New Roman" w:hint="eastAsia"/>
                <w:b/>
                <w:color w:val="000000" w:themeColor="text1"/>
                <w:sz w:val="24"/>
              </w:rPr>
              <w:instrText>\\25</w:instrText>
            </w:r>
            <w:r w:rsidRPr="002A0AF6">
              <w:rPr>
                <w:rFonts w:ascii="Times New Roman" w:eastAsia="宋体" w:hAnsi="Times New Roman" w:cs="Times New Roman" w:hint="eastAsia"/>
                <w:b/>
                <w:color w:val="000000" w:themeColor="text1"/>
                <w:sz w:val="24"/>
              </w:rPr>
              <w:instrText>年高考题</w:instrText>
            </w:r>
            <w:r w:rsidRPr="002A0AF6">
              <w:rPr>
                <w:rFonts w:ascii="Times New Roman" w:eastAsia="宋体" w:hAnsi="Times New Roman" w:cs="Times New Roman" w:hint="eastAsia"/>
                <w:b/>
                <w:color w:val="000000" w:themeColor="text1"/>
                <w:sz w:val="24"/>
              </w:rPr>
              <w:instrText>\\</w:instrText>
            </w:r>
            <w:r w:rsidRPr="002A0AF6">
              <w:rPr>
                <w:rFonts w:ascii="Times New Roman" w:eastAsia="宋体" w:hAnsi="Times New Roman" w:cs="Times New Roman" w:hint="eastAsia"/>
                <w:b/>
                <w:color w:val="000000" w:themeColor="text1"/>
                <w:sz w:val="24"/>
              </w:rPr>
              <w:instrText>政治</w:instrText>
            </w:r>
            <w:r w:rsidRPr="002A0AF6">
              <w:rPr>
                <w:rFonts w:ascii="Times New Roman" w:eastAsia="宋体" w:hAnsi="Times New Roman" w:cs="Times New Roman" w:hint="eastAsia"/>
                <w:b/>
                <w:color w:val="000000" w:themeColor="text1"/>
                <w:sz w:val="24"/>
              </w:rPr>
              <w:instrText>\\YNZZGKT1.tif" \* MERGEFORMATINET</w:instrText>
            </w:r>
            <w:r w:rsidRPr="002A0AF6">
              <w:rPr>
                <w:rFonts w:ascii="Times New Roman" w:eastAsia="宋体" w:hAnsi="Times New Roman" w:cs="Times New Roman"/>
                <w:b/>
                <w:color w:val="000000" w:themeColor="text1"/>
                <w:sz w:val="24"/>
              </w:rPr>
              <w:instrText xml:space="preserve"> </w:instrText>
            </w:r>
            <w:r w:rsidRPr="002A0AF6">
              <w:rPr>
                <w:rFonts w:ascii="Times New Roman" w:eastAsia="宋体" w:hAnsi="Times New Roman" w:cs="Times New Roman"/>
                <w:b/>
                <w:color w:val="000000" w:themeColor="text1"/>
                <w:sz w:val="24"/>
              </w:rPr>
              <w:fldChar w:fldCharType="separate"/>
            </w:r>
            <w:r w:rsidR="00463767">
              <w:rPr>
                <w:rFonts w:ascii="Times New Roman" w:eastAsia="宋体" w:hAnsi="Times New Roman" w:cs="Times New Roman"/>
                <w:b/>
                <w:color w:val="000000" w:themeColor="text1"/>
                <w:sz w:val="24"/>
              </w:rPr>
              <w:fldChar w:fldCharType="begin"/>
            </w:r>
            <w:r w:rsidR="00463767">
              <w:rPr>
                <w:rFonts w:ascii="Times New Roman" w:eastAsia="宋体" w:hAnsi="Times New Roman" w:cs="Times New Roman"/>
                <w:b/>
                <w:color w:val="000000" w:themeColor="text1"/>
                <w:sz w:val="24"/>
              </w:rPr>
              <w:instrText xml:space="preserve"> </w:instrText>
            </w:r>
            <w:r w:rsidR="00463767">
              <w:rPr>
                <w:rFonts w:ascii="Times New Roman" w:eastAsia="宋体" w:hAnsi="Times New Roman" w:cs="Times New Roman" w:hint="eastAsia"/>
                <w:b/>
                <w:color w:val="000000" w:themeColor="text1"/>
                <w:sz w:val="24"/>
              </w:rPr>
              <w:instrText>INCLUDEPICTURE  "D:\\1.</w:instrText>
            </w:r>
            <w:r w:rsidR="00463767">
              <w:rPr>
                <w:rFonts w:ascii="Times New Roman" w:eastAsia="宋体" w:hAnsi="Times New Roman" w:cs="Times New Roman" w:hint="eastAsia"/>
                <w:b/>
                <w:color w:val="000000" w:themeColor="text1"/>
                <w:sz w:val="24"/>
              </w:rPr>
              <w:instrText>王清爽</w:instrText>
            </w:r>
            <w:r w:rsidR="00463767">
              <w:rPr>
                <w:rFonts w:ascii="Times New Roman" w:eastAsia="宋体" w:hAnsi="Times New Roman" w:cs="Times New Roman" w:hint="eastAsia"/>
                <w:b/>
                <w:color w:val="000000" w:themeColor="text1"/>
                <w:sz w:val="24"/>
              </w:rPr>
              <w:instrText>\\1.</w:instrText>
            </w:r>
            <w:r w:rsidR="00463767">
              <w:rPr>
                <w:rFonts w:ascii="Times New Roman" w:eastAsia="宋体" w:hAnsi="Times New Roman" w:cs="Times New Roman" w:hint="eastAsia"/>
                <w:b/>
                <w:color w:val="000000" w:themeColor="text1"/>
                <w:sz w:val="24"/>
              </w:rPr>
              <w:instrText>课件</w:instrText>
            </w:r>
            <w:r w:rsidR="00463767">
              <w:rPr>
                <w:rFonts w:ascii="Times New Roman" w:eastAsia="宋体" w:hAnsi="Times New Roman" w:cs="Times New Roman" w:hint="eastAsia"/>
                <w:b/>
                <w:color w:val="000000" w:themeColor="text1"/>
                <w:sz w:val="24"/>
              </w:rPr>
              <w:instrText>\\</w:instrText>
            </w:r>
            <w:r w:rsidR="00463767">
              <w:rPr>
                <w:rFonts w:ascii="Times New Roman" w:eastAsia="宋体" w:hAnsi="Times New Roman" w:cs="Times New Roman" w:hint="eastAsia"/>
                <w:b/>
                <w:color w:val="000000" w:themeColor="text1"/>
                <w:sz w:val="24"/>
              </w:rPr>
              <w:instrText>高考题</w:instrText>
            </w:r>
            <w:r w:rsidR="00463767">
              <w:rPr>
                <w:rFonts w:ascii="Times New Roman" w:eastAsia="宋体" w:hAnsi="Times New Roman" w:cs="Times New Roman" w:hint="eastAsia"/>
                <w:b/>
                <w:color w:val="000000" w:themeColor="text1"/>
                <w:sz w:val="24"/>
              </w:rPr>
              <w:instrText>\\9.</w:instrText>
            </w:r>
            <w:r w:rsidR="00463767">
              <w:rPr>
                <w:rFonts w:ascii="Times New Roman" w:eastAsia="宋体" w:hAnsi="Times New Roman" w:cs="Times New Roman" w:hint="eastAsia"/>
                <w:b/>
                <w:color w:val="000000" w:themeColor="text1"/>
                <w:sz w:val="24"/>
              </w:rPr>
              <w:instrText>政治</w:instrText>
            </w:r>
            <w:r w:rsidR="00463767">
              <w:rPr>
                <w:rFonts w:ascii="Times New Roman" w:eastAsia="宋体" w:hAnsi="Times New Roman" w:cs="Times New Roman" w:hint="eastAsia"/>
                <w:b/>
                <w:color w:val="000000" w:themeColor="text1"/>
                <w:sz w:val="24"/>
              </w:rPr>
              <w:instrText>\\2025</w:instrText>
            </w:r>
            <w:r w:rsidR="00463767">
              <w:rPr>
                <w:rFonts w:ascii="Times New Roman" w:eastAsia="宋体" w:hAnsi="Times New Roman" w:cs="Times New Roman" w:hint="eastAsia"/>
                <w:b/>
                <w:color w:val="000000" w:themeColor="text1"/>
                <w:sz w:val="24"/>
              </w:rPr>
              <w:instrText>年</w:instrText>
            </w:r>
            <w:r w:rsidR="00463767">
              <w:rPr>
                <w:rFonts w:ascii="Times New Roman" w:eastAsia="宋体" w:hAnsi="Times New Roman" w:cs="Times New Roman" w:hint="eastAsia"/>
                <w:b/>
                <w:color w:val="000000" w:themeColor="text1"/>
                <w:sz w:val="24"/>
              </w:rPr>
              <w:instrText>\\YNZZGKT1.tif" \* MERGEFORMATINET</w:instrText>
            </w:r>
            <w:r w:rsidR="00463767">
              <w:rPr>
                <w:rFonts w:ascii="Times New Roman" w:eastAsia="宋体" w:hAnsi="Times New Roman" w:cs="Times New Roman"/>
                <w:b/>
                <w:color w:val="000000" w:themeColor="text1"/>
                <w:sz w:val="24"/>
              </w:rPr>
              <w:instrText xml:space="preserve"> </w:instrText>
            </w:r>
            <w:r w:rsidR="00463767">
              <w:rPr>
                <w:rFonts w:ascii="Times New Roman" w:eastAsia="宋体" w:hAnsi="Times New Roman" w:cs="Times New Roman"/>
                <w:b/>
                <w:color w:val="000000" w:themeColor="text1"/>
                <w:sz w:val="24"/>
              </w:rPr>
              <w:fldChar w:fldCharType="separate"/>
            </w:r>
            <w:r w:rsidR="00905BCF">
              <w:rPr>
                <w:rFonts w:ascii="Times New Roman" w:eastAsia="宋体" w:hAnsi="Times New Roman" w:cs="Times New Roman"/>
                <w:b/>
                <w:color w:val="000000" w:themeColor="text1"/>
                <w:sz w:val="24"/>
              </w:rPr>
              <w:fldChar w:fldCharType="begin"/>
            </w:r>
            <w:r w:rsidR="00905BCF">
              <w:rPr>
                <w:rFonts w:ascii="Times New Roman" w:eastAsia="宋体" w:hAnsi="Times New Roman" w:cs="Times New Roman"/>
                <w:b/>
                <w:color w:val="000000" w:themeColor="text1"/>
                <w:sz w:val="24"/>
              </w:rPr>
              <w:instrText xml:space="preserve"> </w:instrText>
            </w:r>
            <w:r w:rsidR="00905BCF">
              <w:rPr>
                <w:rFonts w:ascii="Times New Roman" w:eastAsia="宋体" w:hAnsi="Times New Roman" w:cs="Times New Roman" w:hint="eastAsia"/>
                <w:b/>
                <w:color w:val="000000" w:themeColor="text1"/>
                <w:sz w:val="24"/>
              </w:rPr>
              <w:instrText>INCLUDEPICTURE  "D:\\1.</w:instrText>
            </w:r>
            <w:r w:rsidR="00905BCF">
              <w:rPr>
                <w:rFonts w:ascii="Times New Roman" w:eastAsia="宋体" w:hAnsi="Times New Roman" w:cs="Times New Roman" w:hint="eastAsia"/>
                <w:b/>
                <w:color w:val="000000" w:themeColor="text1"/>
                <w:sz w:val="24"/>
              </w:rPr>
              <w:instrText>王清爽</w:instrText>
            </w:r>
            <w:r w:rsidR="00905BCF">
              <w:rPr>
                <w:rFonts w:ascii="Times New Roman" w:eastAsia="宋体" w:hAnsi="Times New Roman" w:cs="Times New Roman" w:hint="eastAsia"/>
                <w:b/>
                <w:color w:val="000000" w:themeColor="text1"/>
                <w:sz w:val="24"/>
              </w:rPr>
              <w:instrText>\\1.</w:instrText>
            </w:r>
            <w:r w:rsidR="00905BCF">
              <w:rPr>
                <w:rFonts w:ascii="Times New Roman" w:eastAsia="宋体" w:hAnsi="Times New Roman" w:cs="Times New Roman" w:hint="eastAsia"/>
                <w:b/>
                <w:color w:val="000000" w:themeColor="text1"/>
                <w:sz w:val="24"/>
              </w:rPr>
              <w:instrText>课件</w:instrText>
            </w:r>
            <w:r w:rsidR="00905BCF">
              <w:rPr>
                <w:rFonts w:ascii="Times New Roman" w:eastAsia="宋体" w:hAnsi="Times New Roman" w:cs="Times New Roman" w:hint="eastAsia"/>
                <w:b/>
                <w:color w:val="000000" w:themeColor="text1"/>
                <w:sz w:val="24"/>
              </w:rPr>
              <w:instrText>\\</w:instrText>
            </w:r>
            <w:r w:rsidR="00905BCF">
              <w:rPr>
                <w:rFonts w:ascii="Times New Roman" w:eastAsia="宋体" w:hAnsi="Times New Roman" w:cs="Times New Roman" w:hint="eastAsia"/>
                <w:b/>
                <w:color w:val="000000" w:themeColor="text1"/>
                <w:sz w:val="24"/>
              </w:rPr>
              <w:instrText>高考题</w:instrText>
            </w:r>
            <w:r w:rsidR="00905BCF">
              <w:rPr>
                <w:rFonts w:ascii="Times New Roman" w:eastAsia="宋体" w:hAnsi="Times New Roman" w:cs="Times New Roman" w:hint="eastAsia"/>
                <w:b/>
                <w:color w:val="000000" w:themeColor="text1"/>
                <w:sz w:val="24"/>
              </w:rPr>
              <w:instrText>\\9.</w:instrText>
            </w:r>
            <w:r w:rsidR="00905BCF">
              <w:rPr>
                <w:rFonts w:ascii="Times New Roman" w:eastAsia="宋体" w:hAnsi="Times New Roman" w:cs="Times New Roman" w:hint="eastAsia"/>
                <w:b/>
                <w:color w:val="000000" w:themeColor="text1"/>
                <w:sz w:val="24"/>
              </w:rPr>
              <w:instrText>政治</w:instrText>
            </w:r>
            <w:r w:rsidR="00905BCF">
              <w:rPr>
                <w:rFonts w:ascii="Times New Roman" w:eastAsia="宋体" w:hAnsi="Times New Roman" w:cs="Times New Roman" w:hint="eastAsia"/>
                <w:b/>
                <w:color w:val="000000" w:themeColor="text1"/>
                <w:sz w:val="24"/>
              </w:rPr>
              <w:instrText>\\2025</w:instrText>
            </w:r>
            <w:r w:rsidR="00905BCF">
              <w:rPr>
                <w:rFonts w:ascii="Times New Roman" w:eastAsia="宋体" w:hAnsi="Times New Roman" w:cs="Times New Roman" w:hint="eastAsia"/>
                <w:b/>
                <w:color w:val="000000" w:themeColor="text1"/>
                <w:sz w:val="24"/>
              </w:rPr>
              <w:instrText>年</w:instrText>
            </w:r>
            <w:r w:rsidR="00905BCF">
              <w:rPr>
                <w:rFonts w:ascii="Times New Roman" w:eastAsia="宋体" w:hAnsi="Times New Roman" w:cs="Times New Roman" w:hint="eastAsia"/>
                <w:b/>
                <w:color w:val="000000" w:themeColor="text1"/>
                <w:sz w:val="24"/>
              </w:rPr>
              <w:instrText>\\YNZZGKT1.tif" \* MERGEFORMATINET</w:instrText>
            </w:r>
            <w:r w:rsidR="00905BCF">
              <w:rPr>
                <w:rFonts w:ascii="Times New Roman" w:eastAsia="宋体" w:hAnsi="Times New Roman" w:cs="Times New Roman"/>
                <w:b/>
                <w:color w:val="000000" w:themeColor="text1"/>
                <w:sz w:val="24"/>
              </w:rPr>
              <w:instrText xml:space="preserve"> </w:instrText>
            </w:r>
            <w:r w:rsidR="00905BCF">
              <w:rPr>
                <w:rFonts w:ascii="Times New Roman" w:eastAsia="宋体" w:hAnsi="Times New Roman" w:cs="Times New Roman"/>
                <w:b/>
                <w:color w:val="000000" w:themeColor="text1"/>
                <w:sz w:val="24"/>
              </w:rPr>
              <w:fldChar w:fldCharType="separate"/>
            </w:r>
            <w:r w:rsidR="00C24343">
              <w:rPr>
                <w:rFonts w:ascii="Times New Roman" w:eastAsia="宋体" w:hAnsi="Times New Roman" w:cs="Times New Roman"/>
                <w:b/>
                <w:color w:val="000000" w:themeColor="text1"/>
                <w:sz w:val="24"/>
              </w:rPr>
              <w:pict w14:anchorId="24069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41.3pt">
                  <v:imagedata r:id="rId6" r:href="rId7"/>
                </v:shape>
              </w:pict>
            </w:r>
            <w:r w:rsidR="00905BCF">
              <w:rPr>
                <w:rFonts w:ascii="Times New Roman" w:eastAsia="宋体" w:hAnsi="Times New Roman" w:cs="Times New Roman"/>
                <w:b/>
                <w:color w:val="000000" w:themeColor="text1"/>
                <w:sz w:val="24"/>
              </w:rPr>
              <w:fldChar w:fldCharType="end"/>
            </w:r>
            <w:r w:rsidR="00463767">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tc>
        <w:tc>
          <w:tcPr>
            <w:tcW w:w="0" w:type="auto"/>
            <w:shd w:val="clear" w:color="auto" w:fill="auto"/>
            <w:vAlign w:val="center"/>
          </w:tcPr>
          <w:p w:rsidR="00106F55" w:rsidRPr="00106F55" w:rsidRDefault="00106F55" w:rsidP="00C24343">
            <w:pPr>
              <w:pStyle w:val="a3"/>
              <w:tabs>
                <w:tab w:val="left" w:pos="4200"/>
              </w:tabs>
              <w:snapToGrid w:val="0"/>
              <w:spacing w:line="360" w:lineRule="auto"/>
              <w:rPr>
                <w:rFonts w:ascii="Times New Roman" w:eastAsia="楷体" w:hAnsi="Times New Roman" w:cs="Times New Roman"/>
                <w:b/>
                <w:color w:val="000000" w:themeColor="text1"/>
                <w:sz w:val="24"/>
              </w:rPr>
            </w:pPr>
            <w:r w:rsidRPr="00106F55">
              <w:rPr>
                <w:rFonts w:ascii="Times New Roman" w:eastAsia="楷体" w:hAnsi="Times New Roman" w:cs="Times New Roman"/>
                <w:b/>
                <w:color w:val="000000" w:themeColor="text1"/>
                <w:sz w:val="24"/>
              </w:rPr>
              <w:t>内蒙古：发挥护林员、草管员作用加强红嘴鸥等候鸟栖息地保护；开展打击乱捕滥猎等违法犯罪专项行动推进防沙治沙和国土绿化。</w:t>
            </w:r>
          </w:p>
        </w:tc>
      </w:tr>
      <w:tr w:rsidR="00106F55" w:rsidRPr="002A0AF6" w:rsidTr="00106F55">
        <w:trPr>
          <w:jc w:val="center"/>
        </w:trPr>
        <w:tc>
          <w:tcPr>
            <w:tcW w:w="0" w:type="auto"/>
            <w:shd w:val="clear" w:color="auto" w:fill="auto"/>
            <w:vAlign w:val="center"/>
          </w:tcPr>
          <w:p w:rsidR="00106F55" w:rsidRPr="00106F55" w:rsidRDefault="00106F55" w:rsidP="00C24343">
            <w:pPr>
              <w:pStyle w:val="a3"/>
              <w:tabs>
                <w:tab w:val="left" w:pos="4200"/>
              </w:tabs>
              <w:snapToGrid w:val="0"/>
              <w:spacing w:line="360" w:lineRule="auto"/>
              <w:rPr>
                <w:rFonts w:ascii="Times New Roman" w:eastAsia="楷体" w:hAnsi="Times New Roman" w:cs="Times New Roman"/>
                <w:b/>
                <w:color w:val="000000" w:themeColor="text1"/>
                <w:sz w:val="24"/>
              </w:rPr>
            </w:pPr>
            <w:r w:rsidRPr="00106F55">
              <w:rPr>
                <w:rFonts w:ascii="Times New Roman" w:eastAsia="楷体" w:hAnsi="Times New Roman" w:cs="Times New Roman"/>
                <w:b/>
                <w:color w:val="000000" w:themeColor="text1"/>
                <w:sz w:val="24"/>
              </w:rPr>
              <w:t>云南：着力实施《云南省滇池保护条例》；实施滇池湖滨生态建设工程建成宽度约</w:t>
            </w:r>
            <w:r w:rsidRPr="00106F55">
              <w:rPr>
                <w:rFonts w:ascii="Times New Roman" w:eastAsia="楷体" w:hAnsi="Times New Roman" w:cs="Times New Roman"/>
                <w:b/>
                <w:color w:val="000000" w:themeColor="text1"/>
                <w:sz w:val="24"/>
              </w:rPr>
              <w:t>200</w:t>
            </w:r>
            <w:r w:rsidRPr="00106F55">
              <w:rPr>
                <w:rFonts w:ascii="Times New Roman" w:eastAsia="楷体" w:hAnsi="Times New Roman" w:cs="Times New Roman"/>
                <w:b/>
                <w:color w:val="000000" w:themeColor="text1"/>
                <w:sz w:val="24"/>
              </w:rPr>
              <w:t>米的环湖闭合生态带，倡导公民爱鸥护鸥、文明观赏红嘴鸥。</w:t>
            </w:r>
          </w:p>
        </w:tc>
        <w:tc>
          <w:tcPr>
            <w:tcW w:w="0" w:type="auto"/>
            <w:vMerge/>
            <w:shd w:val="clear" w:color="auto" w:fill="auto"/>
            <w:vAlign w:val="center"/>
          </w:tcPr>
          <w:p w:rsidR="00106F55" w:rsidRPr="002A0AF6" w:rsidRDefault="00106F55" w:rsidP="00C24343">
            <w:pPr>
              <w:pStyle w:val="a3"/>
              <w:tabs>
                <w:tab w:val="left" w:pos="4200"/>
              </w:tabs>
              <w:snapToGrid w:val="0"/>
              <w:spacing w:line="360" w:lineRule="auto"/>
              <w:jc w:val="center"/>
              <w:rPr>
                <w:rFonts w:ascii="Times New Roman" w:eastAsia="宋体" w:hAnsi="Times New Roman" w:cs="Times New Roman"/>
                <w:b/>
                <w:color w:val="000000" w:themeColor="text1"/>
                <w:sz w:val="24"/>
              </w:rPr>
            </w:pPr>
          </w:p>
        </w:tc>
        <w:tc>
          <w:tcPr>
            <w:tcW w:w="0" w:type="auto"/>
            <w:shd w:val="clear" w:color="auto" w:fill="auto"/>
            <w:vAlign w:val="center"/>
          </w:tcPr>
          <w:p w:rsidR="00106F55" w:rsidRPr="00106F55" w:rsidRDefault="00106F55" w:rsidP="00C24343">
            <w:pPr>
              <w:pStyle w:val="a3"/>
              <w:tabs>
                <w:tab w:val="left" w:pos="4200"/>
              </w:tabs>
              <w:snapToGrid w:val="0"/>
              <w:spacing w:line="360" w:lineRule="auto"/>
              <w:rPr>
                <w:rFonts w:ascii="Times New Roman" w:eastAsia="楷体" w:hAnsi="Times New Roman" w:cs="Times New Roman"/>
                <w:b/>
                <w:color w:val="000000" w:themeColor="text1"/>
                <w:sz w:val="24"/>
              </w:rPr>
            </w:pPr>
            <w:r w:rsidRPr="00106F55">
              <w:rPr>
                <w:rFonts w:ascii="Times New Roman" w:eastAsia="楷体" w:hAnsi="Times New Roman" w:cs="Times New Roman"/>
                <w:b/>
                <w:color w:val="000000" w:themeColor="text1"/>
                <w:sz w:val="24"/>
              </w:rPr>
              <w:t>陕西：</w:t>
            </w:r>
            <w:r w:rsidRPr="00106F55">
              <w:rPr>
                <w:rFonts w:ascii="Times New Roman" w:eastAsia="楷体" w:hAnsi="Times New Roman" w:cs="Times New Roman"/>
                <w:b/>
                <w:color w:val="000000" w:themeColor="text1"/>
                <w:sz w:val="24"/>
              </w:rPr>
              <w:t>2024</w:t>
            </w:r>
            <w:r w:rsidRPr="00106F55">
              <w:rPr>
                <w:rFonts w:ascii="Times New Roman" w:eastAsia="楷体" w:hAnsi="Times New Roman" w:cs="Times New Roman"/>
                <w:b/>
                <w:color w:val="000000" w:themeColor="text1"/>
                <w:sz w:val="24"/>
              </w:rPr>
              <w:t>年划拨</w:t>
            </w:r>
            <w:r w:rsidRPr="00106F55">
              <w:rPr>
                <w:rFonts w:ascii="Times New Roman" w:eastAsia="楷体" w:hAnsi="Times New Roman" w:cs="Times New Roman"/>
                <w:b/>
                <w:color w:val="000000" w:themeColor="text1"/>
                <w:sz w:val="24"/>
              </w:rPr>
              <w:t>1.15</w:t>
            </w:r>
            <w:r w:rsidRPr="00106F55">
              <w:rPr>
                <w:rFonts w:ascii="Times New Roman" w:eastAsia="楷体" w:hAnsi="Times New Roman" w:cs="Times New Roman"/>
                <w:b/>
                <w:color w:val="000000" w:themeColor="text1"/>
                <w:sz w:val="24"/>
              </w:rPr>
              <w:t>亿元资金用于黄河湿地保护修复；出台《陕西省湿地保护条例》；联动开展打击破坏红嘴鸥等野生动物资源违法犯罪</w:t>
            </w:r>
            <w:r w:rsidRPr="00106F55">
              <w:rPr>
                <w:rFonts w:ascii="Times New Roman" w:eastAsia="楷体" w:hAnsi="Times New Roman" w:cs="Times New Roman" w:hint="eastAsia"/>
                <w:b/>
                <w:color w:val="000000" w:themeColor="text1"/>
                <w:sz w:val="24"/>
              </w:rPr>
              <w:t>专项行动。</w:t>
            </w:r>
          </w:p>
        </w:tc>
      </w:tr>
    </w:tbl>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结合材料，运用《政治与法治》的相关知识，以</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政府有为、公民参与，更好为红嘴鸥保驾护航</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为主题写一篇短文。</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要求：围绕主题，观点明确，表述清楚，条理清晰，</w:t>
      </w:r>
      <w:r w:rsidRPr="002A0AF6">
        <w:rPr>
          <w:rFonts w:ascii="Times New Roman" w:eastAsia="宋体" w:hAnsi="Times New Roman" w:cs="Times New Roman"/>
          <w:b/>
          <w:color w:val="000000" w:themeColor="text1"/>
          <w:sz w:val="24"/>
        </w:rPr>
        <w:t>200</w:t>
      </w:r>
      <w:r w:rsidRPr="002A0AF6">
        <w:rPr>
          <w:rFonts w:ascii="Times New Roman" w:eastAsia="宋体" w:hAnsi="Times New Roman" w:cs="Times New Roman"/>
          <w:b/>
          <w:color w:val="000000" w:themeColor="text1"/>
          <w:sz w:val="24"/>
        </w:rPr>
        <w:t>字左右。</w:t>
      </w:r>
      <w:r w:rsidRPr="002A0AF6">
        <w:rPr>
          <w:rFonts w:ascii="Times New Roman" w:eastAsia="宋体" w:hAnsi="Times New Roman" w:cs="Times New Roman"/>
          <w:b/>
          <w:color w:val="000000" w:themeColor="text1"/>
          <w:sz w:val="24"/>
        </w:rPr>
        <w:t>)</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在红嘴鸥保护中，政府与公民均肩负重任。政府要积极有为，科学履行生态文明建设职能，做智能高效的政府，运用现代科技手段，利用科技监测并争取资金修复湿地。政府要严格执法，积极保护栖息地，打击违法犯罪行为，为红嘴鸥创造良好环境。公民也应积极参与，树立生态</w:t>
      </w:r>
      <w:r w:rsidRPr="002A0AF6">
        <w:rPr>
          <w:rFonts w:ascii="Times New Roman" w:eastAsia="宋体" w:hAnsi="Times New Roman" w:cs="Times New Roman" w:hint="eastAsia"/>
          <w:b/>
          <w:color w:val="000000" w:themeColor="text1"/>
          <w:sz w:val="24"/>
        </w:rPr>
        <w:t>文明理念，遵守法律法规，积极参与爱鸥护鸥行动。</w:t>
      </w:r>
    </w:p>
    <w:p w:rsidR="0075731D" w:rsidRPr="002A0AF6" w:rsidRDefault="0075731D" w:rsidP="00C24343">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hint="eastAsia"/>
          <w:b/>
          <w:color w:val="000000" w:themeColor="text1"/>
          <w:sz w:val="24"/>
        </w:rPr>
        <w:t>政府与公民形成合力，政府发挥主导作用，公民积极贡献力量，才能更好地为红嘴鸥的生存与繁衍保驾护航，推动生态文明建设，促进人与自然和谐共生。</w:t>
      </w:r>
    </w:p>
    <w:sectPr w:rsidR="0075731D" w:rsidRPr="002A0AF6" w:rsidSect="002A0AF6">
      <w:footerReference w:type="default" r:id="rId8"/>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BCF" w:rsidRDefault="00905BCF" w:rsidP="00454A9A">
      <w:r>
        <w:separator/>
      </w:r>
    </w:p>
  </w:endnote>
  <w:endnote w:type="continuationSeparator" w:id="0">
    <w:p w:rsidR="00905BCF" w:rsidRDefault="00905BCF" w:rsidP="0045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71" w:rsidRDefault="00A73771" w:rsidP="00A73771">
    <w:pPr>
      <w:pStyle w:val="a7"/>
      <w:jc w:val="center"/>
    </w:pPr>
    <w:r>
      <w:fldChar w:fldCharType="begin"/>
    </w:r>
    <w:r>
      <w:instrText xml:space="preserve"> PAGE  \* MERGEFORMAT </w:instrText>
    </w:r>
    <w:r>
      <w:fldChar w:fldCharType="separate"/>
    </w:r>
    <w:r w:rsidR="00905BCF">
      <w:rPr>
        <w:noProof/>
      </w:rPr>
      <w:t>1</w:t>
    </w:r>
    <w:r>
      <w:fldChar w:fldCharType="end"/>
    </w:r>
    <w:r>
      <w:t>/</w:t>
    </w:r>
    <w:fldSimple w:instr=" NUMPAGES  \* MERGEFORMAT ">
      <w:r w:rsidR="00905BCF">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BCF" w:rsidRDefault="00905BCF" w:rsidP="00454A9A">
      <w:r>
        <w:separator/>
      </w:r>
    </w:p>
  </w:footnote>
  <w:footnote w:type="continuationSeparator" w:id="0">
    <w:p w:rsidR="00905BCF" w:rsidRDefault="00905BCF" w:rsidP="00454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106F55"/>
    <w:rsid w:val="001244A3"/>
    <w:rsid w:val="001D1ED3"/>
    <w:rsid w:val="001D3580"/>
    <w:rsid w:val="00221958"/>
    <w:rsid w:val="00246B59"/>
    <w:rsid w:val="0026699D"/>
    <w:rsid w:val="00271373"/>
    <w:rsid w:val="002A0AF6"/>
    <w:rsid w:val="00327FAD"/>
    <w:rsid w:val="00374759"/>
    <w:rsid w:val="004379E2"/>
    <w:rsid w:val="00454A9A"/>
    <w:rsid w:val="00463767"/>
    <w:rsid w:val="004C34B4"/>
    <w:rsid w:val="004F09B8"/>
    <w:rsid w:val="006773A2"/>
    <w:rsid w:val="00684E81"/>
    <w:rsid w:val="0075731D"/>
    <w:rsid w:val="007C1D7F"/>
    <w:rsid w:val="008A5DF3"/>
    <w:rsid w:val="00905BCF"/>
    <w:rsid w:val="0092543A"/>
    <w:rsid w:val="00991598"/>
    <w:rsid w:val="00A56400"/>
    <w:rsid w:val="00A73771"/>
    <w:rsid w:val="00AA0D76"/>
    <w:rsid w:val="00C1318E"/>
    <w:rsid w:val="00C206CC"/>
    <w:rsid w:val="00C24343"/>
    <w:rsid w:val="00C77B38"/>
    <w:rsid w:val="00D14114"/>
    <w:rsid w:val="00D150D4"/>
    <w:rsid w:val="00D72132"/>
    <w:rsid w:val="00D920B8"/>
    <w:rsid w:val="00DC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3B99DD-1E83-4D4A-B2EF-64EFB69BB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A0A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14114"/>
    <w:rPr>
      <w:rFonts w:asciiTheme="minorEastAsia" w:hAnsi="Courier New" w:cs="Courier New"/>
    </w:rPr>
  </w:style>
  <w:style w:type="character" w:customStyle="1" w:styleId="a4">
    <w:name w:val="纯文本 字符"/>
    <w:basedOn w:val="a0"/>
    <w:link w:val="a3"/>
    <w:uiPriority w:val="99"/>
    <w:rsid w:val="00D14114"/>
    <w:rPr>
      <w:rFonts w:asciiTheme="minorEastAsia" w:hAnsi="Courier New" w:cs="Courier New"/>
    </w:rPr>
  </w:style>
  <w:style w:type="paragraph" w:styleId="a5">
    <w:name w:val="header"/>
    <w:basedOn w:val="a"/>
    <w:link w:val="a6"/>
    <w:uiPriority w:val="99"/>
    <w:unhideWhenUsed/>
    <w:rsid w:val="00454A9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54A9A"/>
    <w:rPr>
      <w:sz w:val="18"/>
      <w:szCs w:val="18"/>
    </w:rPr>
  </w:style>
  <w:style w:type="paragraph" w:styleId="a7">
    <w:name w:val="footer"/>
    <w:basedOn w:val="a"/>
    <w:link w:val="a8"/>
    <w:uiPriority w:val="99"/>
    <w:unhideWhenUsed/>
    <w:rsid w:val="00454A9A"/>
    <w:pPr>
      <w:tabs>
        <w:tab w:val="center" w:pos="4153"/>
        <w:tab w:val="right" w:pos="8306"/>
      </w:tabs>
      <w:snapToGrid w:val="0"/>
      <w:jc w:val="left"/>
    </w:pPr>
    <w:rPr>
      <w:sz w:val="18"/>
      <w:szCs w:val="18"/>
    </w:rPr>
  </w:style>
  <w:style w:type="character" w:customStyle="1" w:styleId="a8">
    <w:name w:val="页脚 字符"/>
    <w:basedOn w:val="a0"/>
    <w:link w:val="a7"/>
    <w:uiPriority w:val="99"/>
    <w:rsid w:val="00454A9A"/>
    <w:rPr>
      <w:sz w:val="18"/>
      <w:szCs w:val="18"/>
    </w:rPr>
  </w:style>
  <w:style w:type="character" w:customStyle="1" w:styleId="10">
    <w:name w:val="标题 1 字符"/>
    <w:basedOn w:val="a0"/>
    <w:link w:val="1"/>
    <w:uiPriority w:val="9"/>
    <w:rsid w:val="002A0AF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YNZZGKT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1772</Words>
  <Characters>10105</Characters>
  <Application>Microsoft Office Word</Application>
  <DocSecurity>0</DocSecurity>
  <Lines>84</Lines>
  <Paragraphs>23</Paragraphs>
  <ScaleCrop>false</ScaleCrop>
  <Company>Microsoft</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2025-08-07T07:07:00Z</dcterms:created>
  <dcterms:modified xsi:type="dcterms:W3CDTF">2025-08-07T07:48:00Z</dcterms:modified>
</cp:coreProperties>
</file>